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F1EB1" w:rsidP="00D60BE3">
      <w:pPr>
        <w:pStyle w:val="afff7"/>
        <w:jc w:val="right"/>
        <w:rPr>
          <w:b w:val="0"/>
          <w:sz w:val="24"/>
          <w:szCs w:val="24"/>
          <w:lang w:eastAsia="en-US"/>
        </w:rPr>
      </w:pPr>
      <w:r>
        <w:rPr>
          <w:b w:val="0"/>
          <w:sz w:val="24"/>
          <w:szCs w:val="24"/>
          <w:lang w:eastAsia="en-US"/>
        </w:rPr>
        <w:t>1</w:t>
      </w:r>
      <w:r w:rsidR="00C56698">
        <w:rPr>
          <w:b w:val="0"/>
          <w:sz w:val="24"/>
          <w:szCs w:val="24"/>
          <w:lang w:eastAsia="en-US"/>
        </w:rPr>
        <w:t>9</w:t>
      </w:r>
      <w:r w:rsidR="00234811">
        <w:rPr>
          <w:b w:val="0"/>
          <w:sz w:val="24"/>
          <w:szCs w:val="24"/>
          <w:lang w:eastAsia="en-US"/>
        </w:rPr>
        <w:t xml:space="preserve"> </w:t>
      </w:r>
      <w:r>
        <w:rPr>
          <w:b w:val="0"/>
          <w:sz w:val="24"/>
          <w:szCs w:val="24"/>
          <w:lang w:eastAsia="en-US"/>
        </w:rPr>
        <w:t>июня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C56698" w:rsidRPr="00C56698">
        <w:rPr>
          <w:bCs/>
          <w:color w:val="000000" w:themeColor="text1"/>
          <w:sz w:val="28"/>
          <w:szCs w:val="28"/>
        </w:rPr>
        <w:t>Покос растительности внутри и снаружи крановых площадок, опашка по периметру крановых площадок МГ Ду1000 "Острогожск-Лебединский ГОК"</w:t>
      </w:r>
      <w:r w:rsidR="007F1EB1" w:rsidRPr="007F1EB1">
        <w:rPr>
          <w:bCs/>
          <w:color w:val="000000" w:themeColor="text1"/>
          <w:sz w:val="28"/>
          <w:szCs w:val="28"/>
        </w:rPr>
        <w:t>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070A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070A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070A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070A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070A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070A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070A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070A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070A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070A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070A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070A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070A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070A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070A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070A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070A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070A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070A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B070A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070A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070A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070A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070A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070A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070A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070A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B070A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B070A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B070A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B070A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B070A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B070A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B070A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B070A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B070A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B070A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B070A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B070A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B070A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B070A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B070A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B070A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B070A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B070A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B070A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B070A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B070A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B070A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B070A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B070A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B070A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B070A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B070A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B070A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B070A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B070A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B070A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B070A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B070A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B070A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B070A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B070A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B070A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B070A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B070A9" w:rsidRPr="00CB432A" w:rsidRDefault="00343CB3" w:rsidP="00B070A9">
      <w:pPr>
        <w:pStyle w:val="afff0"/>
      </w:pPr>
      <w:r w:rsidRPr="00CB432A">
        <w:t xml:space="preserve">- </w:t>
      </w:r>
      <w:r w:rsidR="00A050F1" w:rsidRPr="00A050F1">
        <w:t>срок выполнения работ указывается в виде</w:t>
      </w:r>
      <w:r w:rsidR="00B070A9" w:rsidRPr="00B070A9">
        <w:t xml:space="preserve"> </w:t>
      </w:r>
      <w:r w:rsidR="00B070A9">
        <w:t>точного количества календарных дней, необходимых для выполнения работ, оказания услуг</w:t>
      </w:r>
      <w:r w:rsidR="00B070A9"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C56698" w:rsidRPr="00C56698">
        <w:rPr>
          <w:bCs/>
          <w:color w:val="000000" w:themeColor="text1"/>
        </w:rPr>
        <w:t>Покос растительности внутри и снаружи крановых площадок, опашка по периметру крановых площадок МГ Ду1000 "Острогожск-Лебединский ГОК"</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C56698" w:rsidRPr="00C56698">
              <w:rPr>
                <w:bCs/>
                <w:color w:val="000000" w:themeColor="text1"/>
              </w:rPr>
              <w:t>Покос растительности внутри и снаружи крановых площадок, опашка по периметру крановых площадок МГ Ду1000 "Острогожск-Лебединский ГОК"</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 xml:space="preserve">выдаваемое </w:t>
            </w:r>
            <w:proofErr w:type="spellStart"/>
            <w:r w:rsidR="00F90688">
              <w:rPr>
                <w:bCs/>
                <w:i/>
                <w:sz w:val="22"/>
                <w:szCs w:val="22"/>
              </w:rPr>
              <w:t>саморегу-лируемой</w:t>
            </w:r>
            <w:proofErr w:type="spellEnd"/>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
        <w:gridCol w:w="1067"/>
        <w:gridCol w:w="539"/>
        <w:gridCol w:w="661"/>
        <w:gridCol w:w="526"/>
        <w:gridCol w:w="6947"/>
      </w:tblGrid>
      <w:tr w:rsidR="006C146B" w:rsidRPr="00CB432A" w:rsidTr="00B070A9">
        <w:trPr>
          <w:tblHeader/>
        </w:trPr>
        <w:tc>
          <w:tcPr>
            <w:tcW w:w="783" w:type="dxa"/>
            <w:gridSpan w:val="2"/>
            <w:vAlign w:val="center"/>
          </w:tcPr>
          <w:p w:rsidR="006C146B" w:rsidRPr="00CB432A" w:rsidRDefault="006C146B" w:rsidP="00F176CD">
            <w:pPr>
              <w:pStyle w:val="aff9"/>
            </w:pPr>
            <w:r w:rsidRPr="00CB432A">
              <w:t>№ п/п</w:t>
            </w:r>
          </w:p>
        </w:tc>
        <w:tc>
          <w:tcPr>
            <w:tcW w:w="338" w:type="dxa"/>
            <w:vAlign w:val="center"/>
          </w:tcPr>
          <w:p w:rsidR="006C146B" w:rsidRPr="00CB432A" w:rsidRDefault="006C146B" w:rsidP="00F176CD">
            <w:pPr>
              <w:pStyle w:val="aff9"/>
            </w:pPr>
          </w:p>
        </w:tc>
        <w:tc>
          <w:tcPr>
            <w:tcW w:w="8732"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B070A9">
        <w:tc>
          <w:tcPr>
            <w:tcW w:w="783" w:type="dxa"/>
            <w:gridSpan w:val="2"/>
          </w:tcPr>
          <w:p w:rsidR="006C146B" w:rsidRPr="00CB432A" w:rsidRDefault="006C146B" w:rsidP="00F176CD">
            <w:pPr>
              <w:pStyle w:val="afff5"/>
            </w:pPr>
            <w:r w:rsidRPr="00CB432A">
              <w:t>3.1</w:t>
            </w:r>
          </w:p>
        </w:tc>
        <w:tc>
          <w:tcPr>
            <w:tcW w:w="338" w:type="dxa"/>
          </w:tcPr>
          <w:p w:rsidR="006C146B" w:rsidRPr="00CB432A" w:rsidRDefault="006C146B" w:rsidP="00F176CD">
            <w:pPr>
              <w:pStyle w:val="afff5"/>
            </w:pPr>
          </w:p>
        </w:tc>
        <w:tc>
          <w:tcPr>
            <w:tcW w:w="1349" w:type="dxa"/>
            <w:gridSpan w:val="2"/>
          </w:tcPr>
          <w:p w:rsidR="006C146B" w:rsidRPr="00CB432A" w:rsidRDefault="006C146B" w:rsidP="00F176CD">
            <w:pPr>
              <w:pStyle w:val="afff5"/>
            </w:pPr>
            <w:r w:rsidRPr="00CB432A">
              <w:t>Заказчик</w:t>
            </w:r>
          </w:p>
        </w:tc>
        <w:tc>
          <w:tcPr>
            <w:tcW w:w="7383" w:type="dxa"/>
          </w:tcPr>
          <w:p w:rsidR="006C146B" w:rsidRPr="00CB432A" w:rsidRDefault="00B070A9" w:rsidP="00F176CD">
            <w:pPr>
              <w:pStyle w:val="afff5"/>
            </w:pPr>
            <w:r>
              <w:t>ООО «</w:t>
            </w:r>
            <w:proofErr w:type="spellStart"/>
            <w:r>
              <w:t>Ситэк</w:t>
            </w:r>
            <w:proofErr w:type="spellEnd"/>
            <w:r>
              <w:t>»</w:t>
            </w:r>
          </w:p>
        </w:tc>
      </w:tr>
      <w:tr w:rsidR="006C146B" w:rsidTr="00B070A9">
        <w:tblPrEx>
          <w:tblLook w:val="0000" w:firstRow="0" w:lastRow="0" w:firstColumn="0" w:lastColumn="0" w:noHBand="0" w:noVBand="0"/>
        </w:tblPrEx>
        <w:trPr>
          <w:gridBefore w:val="1"/>
          <w:wBefore w:w="113" w:type="dxa"/>
          <w:trHeight w:val="218"/>
        </w:trPr>
        <w:tc>
          <w:tcPr>
            <w:tcW w:w="0" w:type="auto"/>
            <w:gridSpan w:val="3"/>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B070A9">
        <w:tblPrEx>
          <w:tblLook w:val="0000" w:firstRow="0" w:lastRow="0" w:firstColumn="0" w:lastColumn="0" w:noHBand="0" w:noVBand="0"/>
        </w:tblPrEx>
        <w:trPr>
          <w:gridBefore w:val="1"/>
          <w:wBefore w:w="113" w:type="dxa"/>
          <w:trHeight w:val="218"/>
        </w:trPr>
        <w:tc>
          <w:tcPr>
            <w:tcW w:w="0" w:type="auto"/>
            <w:gridSpan w:val="3"/>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B070A9">
        <w:tblPrEx>
          <w:tblLook w:val="0000" w:firstRow="0" w:lastRow="0" w:firstColumn="0" w:lastColumn="0" w:noHBand="0" w:noVBand="0"/>
        </w:tblPrEx>
        <w:trPr>
          <w:gridBefore w:val="1"/>
          <w:wBefore w:w="113" w:type="dxa"/>
          <w:trHeight w:val="218"/>
        </w:trPr>
        <w:tc>
          <w:tcPr>
            <w:tcW w:w="0" w:type="auto"/>
            <w:gridSpan w:val="3"/>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B070A9">
        <w:tblPrEx>
          <w:tblLook w:val="0000" w:firstRow="0" w:lastRow="0" w:firstColumn="0" w:lastColumn="0" w:noHBand="0" w:noVBand="0"/>
        </w:tblPrEx>
        <w:trPr>
          <w:gridBefore w:val="1"/>
          <w:wBefore w:w="113" w:type="dxa"/>
          <w:trHeight w:val="507"/>
        </w:trPr>
        <w:tc>
          <w:tcPr>
            <w:tcW w:w="0" w:type="auto"/>
            <w:gridSpan w:val="3"/>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proofErr w:type="spellStart"/>
            <w:r>
              <w:t>www</w:t>
            </w:r>
            <w:proofErr w:type="spellEnd"/>
            <w:r>
              <w:t>.</w:t>
            </w:r>
            <w:r>
              <w:rPr>
                <w:lang w:val="en-US"/>
              </w:rPr>
              <w:t>sitek-online.ru</w:t>
            </w:r>
          </w:p>
        </w:tc>
      </w:tr>
      <w:tr w:rsidR="006C146B" w:rsidTr="00B070A9">
        <w:tblPrEx>
          <w:tblLook w:val="0000" w:firstRow="0" w:lastRow="0" w:firstColumn="0" w:lastColumn="0" w:noHBand="0" w:noVBand="0"/>
        </w:tblPrEx>
        <w:trPr>
          <w:gridBefore w:val="1"/>
          <w:wBefore w:w="113" w:type="dxa"/>
          <w:trHeight w:val="319"/>
        </w:trPr>
        <w:tc>
          <w:tcPr>
            <w:tcW w:w="0" w:type="auto"/>
            <w:gridSpan w:val="3"/>
          </w:tcPr>
          <w:p w:rsidR="006C146B" w:rsidRDefault="006C146B" w:rsidP="00F176CD">
            <w:pPr>
              <w:pStyle w:val="Default"/>
            </w:pPr>
            <w:r>
              <w:t xml:space="preserve">Адрес электронной почты: </w:t>
            </w:r>
          </w:p>
        </w:tc>
        <w:tc>
          <w:tcPr>
            <w:tcW w:w="0" w:type="auto"/>
            <w:gridSpan w:val="2"/>
          </w:tcPr>
          <w:p w:rsidR="006C146B" w:rsidRPr="004B3317" w:rsidRDefault="006C146B" w:rsidP="00F176CD">
            <w:pPr>
              <w:pStyle w:val="Default"/>
              <w:rPr>
                <w:lang w:val="en-US"/>
              </w:rPr>
            </w:pPr>
            <w:r>
              <w:rPr>
                <w:lang w:val="en-US"/>
              </w:rPr>
              <w:t>sitek33@mail.ru</w:t>
            </w:r>
          </w:p>
        </w:tc>
      </w:tr>
      <w:tr w:rsidR="006C146B" w:rsidTr="00B070A9">
        <w:tblPrEx>
          <w:tblLook w:val="0000" w:firstRow="0" w:lastRow="0" w:firstColumn="0" w:lastColumn="0" w:noHBand="0" w:noVBand="0"/>
        </w:tblPrEx>
        <w:trPr>
          <w:gridBefore w:val="1"/>
          <w:wBefore w:w="113" w:type="dxa"/>
          <w:trHeight w:val="218"/>
        </w:trPr>
        <w:tc>
          <w:tcPr>
            <w:tcW w:w="0" w:type="auto"/>
            <w:gridSpan w:val="3"/>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B070A9">
        <w:tblPrEx>
          <w:tblLook w:val="0000" w:firstRow="0" w:lastRow="0" w:firstColumn="0" w:lastColumn="0" w:noHBand="0" w:noVBand="0"/>
        </w:tblPrEx>
        <w:trPr>
          <w:gridBefore w:val="1"/>
          <w:wBefore w:w="113" w:type="dxa"/>
          <w:trHeight w:val="218"/>
        </w:trPr>
        <w:tc>
          <w:tcPr>
            <w:tcW w:w="0" w:type="auto"/>
            <w:gridSpan w:val="3"/>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56698" w:rsidP="00D6633B">
            <w:pPr>
              <w:jc w:val="both"/>
              <w:rPr>
                <w:sz w:val="22"/>
                <w:szCs w:val="22"/>
                <w:highlight w:val="lightGray"/>
              </w:rPr>
            </w:pPr>
            <w:r w:rsidRPr="00C56698">
              <w:rPr>
                <w:bCs/>
                <w:color w:val="000000" w:themeColor="text1"/>
                <w:sz w:val="22"/>
                <w:szCs w:val="22"/>
              </w:rPr>
              <w:t>Покос растительности внутри и снаружи крановых площадок, опашка по периметру крановых площадок МГ Ду1000 "Острогожск-Лебединский ГОК"</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C56698">
              <w:t xml:space="preserve">20 </w:t>
            </w:r>
            <w:r w:rsidR="007F1EB1">
              <w:t>июня</w:t>
            </w:r>
            <w:r w:rsidR="00234811">
              <w:t xml:space="preserve">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B070A9" w:rsidP="00F176CD">
            <w:pPr>
              <w:pStyle w:val="afff5"/>
            </w:pPr>
            <w:r>
              <w:t>Единая информационная система</w:t>
            </w:r>
            <w:r w:rsidR="006C146B" w:rsidRPr="00CB432A">
              <w:t>: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Начальная (максимальная) цена предмета закупки</w:t>
            </w:r>
          </w:p>
        </w:tc>
        <w:tc>
          <w:tcPr>
            <w:tcW w:w="6486" w:type="dxa"/>
          </w:tcPr>
          <w:p w:rsidR="00C56698" w:rsidRPr="00C56698" w:rsidRDefault="007F1EB1" w:rsidP="00C56698">
            <w:pPr>
              <w:tabs>
                <w:tab w:val="left" w:pos="-7655"/>
              </w:tabs>
              <w:jc w:val="both"/>
              <w:rPr>
                <w:bCs/>
                <w:sz w:val="22"/>
                <w:szCs w:val="22"/>
              </w:rPr>
            </w:pPr>
            <w:r>
              <w:rPr>
                <w:bCs/>
                <w:sz w:val="22"/>
                <w:szCs w:val="22"/>
              </w:rPr>
              <w:t xml:space="preserve">- </w:t>
            </w:r>
            <w:r w:rsidR="00C56698" w:rsidRPr="00C56698">
              <w:rPr>
                <w:bCs/>
                <w:sz w:val="22"/>
                <w:szCs w:val="22"/>
              </w:rPr>
              <w:t xml:space="preserve">2 570 353,53 руб. (Два миллиона пятьсот семьдесят тысяч триста пятьдесят три рубля пятьдесят три копейки), в </w:t>
            </w:r>
            <w:proofErr w:type="spellStart"/>
            <w:r w:rsidR="00C56698" w:rsidRPr="00C56698">
              <w:rPr>
                <w:bCs/>
                <w:sz w:val="22"/>
                <w:szCs w:val="22"/>
              </w:rPr>
              <w:t>т.ч</w:t>
            </w:r>
            <w:proofErr w:type="spellEnd"/>
            <w:r w:rsidR="00C56698" w:rsidRPr="00C56698">
              <w:rPr>
                <w:bCs/>
                <w:sz w:val="22"/>
                <w:szCs w:val="22"/>
              </w:rPr>
              <w:t>. НДС (18%) 392087,83 руб. (Триста девяносто две тысячи восемьдесят семь рублей восемьдесят три копейки).</w:t>
            </w:r>
          </w:p>
          <w:p w:rsidR="006C146B" w:rsidRPr="0046043A" w:rsidRDefault="00C56698" w:rsidP="00C56698">
            <w:pPr>
              <w:tabs>
                <w:tab w:val="left" w:pos="-7655"/>
              </w:tabs>
              <w:jc w:val="both"/>
              <w:rPr>
                <w:bCs/>
                <w:sz w:val="28"/>
                <w:szCs w:val="28"/>
              </w:rPr>
            </w:pPr>
            <w:r>
              <w:rPr>
                <w:bCs/>
                <w:sz w:val="22"/>
                <w:szCs w:val="22"/>
              </w:rPr>
              <w:t xml:space="preserve">- </w:t>
            </w:r>
            <w:r w:rsidRPr="00C56698">
              <w:rPr>
                <w:bCs/>
                <w:sz w:val="22"/>
                <w:szCs w:val="22"/>
              </w:rPr>
              <w:t>без НДС – 2 178 265,70 руб. (</w:t>
            </w:r>
            <w:r w:rsidR="00B070A9">
              <w:rPr>
                <w:bCs/>
                <w:sz w:val="22"/>
                <w:szCs w:val="22"/>
              </w:rPr>
              <w:t>Д</w:t>
            </w:r>
            <w:r w:rsidRPr="00C56698">
              <w:rPr>
                <w:bCs/>
                <w:sz w:val="22"/>
                <w:szCs w:val="22"/>
              </w:rPr>
              <w:t xml:space="preserve">ва миллиона сто семьдесят восемь </w:t>
            </w:r>
            <w:r w:rsidRPr="00C56698">
              <w:rPr>
                <w:bCs/>
                <w:sz w:val="22"/>
                <w:szCs w:val="22"/>
              </w:rPr>
              <w:lastRenderedPageBreak/>
              <w:t>тысяч двести шестьдесят пять рублей семьдесят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C56698">
              <w:t>128517,68</w:t>
            </w:r>
            <w:r w:rsidR="00C10E5C">
              <w:t xml:space="preserve"> </w:t>
            </w:r>
            <w:r w:rsidR="003310EB">
              <w:t>рублей</w:t>
            </w:r>
            <w:r w:rsidR="00234811">
              <w:t xml:space="preserve"> (</w:t>
            </w:r>
            <w:r w:rsidR="00C56698">
              <w:t>Сто двадцать восемь тысяч пятьсот семнадцать рублей 68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C56698">
              <w:t>20</w:t>
            </w:r>
            <w:r w:rsidR="007F1EB1">
              <w:t xml:space="preserve"> июня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C56698" w:rsidP="00DD43AD">
            <w:pPr>
              <w:pStyle w:val="afff5"/>
            </w:pPr>
            <w:r>
              <w:t>27</w:t>
            </w:r>
            <w:r w:rsidR="007F1EB1">
              <w:t xml:space="preserve"> июня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56698" w:rsidP="00F176CD">
            <w:pPr>
              <w:pStyle w:val="afff5"/>
            </w:pPr>
            <w:r>
              <w:rPr>
                <w:noProof/>
              </w:rPr>
              <w:t>27</w:t>
            </w:r>
            <w:r w:rsidR="006C5F6E">
              <w:rPr>
                <w:noProof/>
              </w:rPr>
              <w:t xml:space="preserve"> </w:t>
            </w:r>
            <w:r w:rsidR="007F1EB1">
              <w:rPr>
                <w:noProof/>
              </w:rPr>
              <w:t>июня</w:t>
            </w:r>
            <w:r w:rsidR="001F1B13">
              <w:rPr>
                <w:noProof/>
              </w:rPr>
              <w:t xml:space="preserve"> </w:t>
            </w:r>
            <w:r w:rsidR="006C146B" w:rsidRPr="00BA6290">
              <w:rPr>
                <w:noProof/>
              </w:rPr>
              <w:t>201</w:t>
            </w:r>
            <w:r w:rsidR="00436F84">
              <w:rPr>
                <w:noProof/>
              </w:rPr>
              <w:t>7</w:t>
            </w:r>
            <w:r w:rsidR="006C146B" w:rsidRPr="00BA6290">
              <w:t xml:space="preserve"> года 1</w:t>
            </w:r>
            <w:r w:rsidR="007F1EB1">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436F84" w:rsidP="00AB0A56">
            <w:pPr>
              <w:pStyle w:val="afff5"/>
            </w:pPr>
            <w:r>
              <w:rPr>
                <w:noProof/>
              </w:rPr>
              <w:t xml:space="preserve"> </w:t>
            </w:r>
            <w:r w:rsidR="007F1EB1">
              <w:rPr>
                <w:noProof/>
              </w:rPr>
              <w:t>2</w:t>
            </w:r>
            <w:r w:rsidR="00C56698">
              <w:rPr>
                <w:noProof/>
              </w:rPr>
              <w:t>7</w:t>
            </w:r>
            <w:r w:rsidR="007F1EB1">
              <w:rPr>
                <w:noProof/>
              </w:rPr>
              <w:t xml:space="preserve"> июня</w:t>
            </w:r>
            <w:r w:rsidR="00DF29AA">
              <w:rPr>
                <w:noProof/>
              </w:rPr>
              <w:t xml:space="preserve"> </w:t>
            </w:r>
            <w:r w:rsidR="00AB0A56" w:rsidRPr="00BA6290">
              <w:rPr>
                <w:noProof/>
              </w:rPr>
              <w:t>201</w:t>
            </w:r>
            <w:r>
              <w:rPr>
                <w:noProof/>
              </w:rPr>
              <w:t>7</w:t>
            </w:r>
            <w:r w:rsidR="00AB0A56" w:rsidRPr="00BA6290">
              <w:t xml:space="preserve"> года 1</w:t>
            </w:r>
            <w:r w:rsidR="007F1EB1">
              <w:t>2</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rsidRPr="00CB432A">
              <w:lastRenderedPageBreak/>
              <w:t>подведения итогов</w:t>
            </w:r>
          </w:p>
        </w:tc>
        <w:tc>
          <w:tcPr>
            <w:tcW w:w="6486" w:type="dxa"/>
          </w:tcPr>
          <w:p w:rsidR="006C146B" w:rsidRPr="00CB432A" w:rsidRDefault="007F1EB1" w:rsidP="00DD43AD">
            <w:pPr>
              <w:pStyle w:val="afff5"/>
            </w:pPr>
            <w:r>
              <w:lastRenderedPageBreak/>
              <w:t>2</w:t>
            </w:r>
            <w:r w:rsidR="00C56698">
              <w:t>9</w:t>
            </w:r>
            <w:r w:rsidR="00B56E5E">
              <w:t xml:space="preserve"> </w:t>
            </w:r>
            <w:r w:rsidR="00DF29AA">
              <w:t>июня</w:t>
            </w:r>
            <w:r w:rsidR="003B5382" w:rsidRPr="003B5382">
              <w:t xml:space="preserve"> 201</w:t>
            </w:r>
            <w:r w:rsidR="00436F84">
              <w:t>7</w:t>
            </w:r>
            <w:r w:rsidR="003B5382" w:rsidRPr="003B5382">
              <w:t xml:space="preserve"> г. </w:t>
            </w:r>
            <w:r w:rsidR="00B41CFB">
              <w:t>1</w:t>
            </w:r>
            <w:r>
              <w:t>2</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21753B">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21753B">
              <w:t>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xml:space="preserve">) календарных дней, путём перечисления денежных средств на расчётный счет Подрядчика на основании </w:t>
            </w:r>
            <w:r w:rsidRPr="00782A20">
              <w:rPr>
                <w:noProof/>
                <w:sz w:val="22"/>
                <w:szCs w:val="22"/>
              </w:rPr>
              <w:lastRenderedPageBreak/>
              <w:t>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F176CD">
        <w:trPr>
          <w:gridAfter w:val="1"/>
          <w:wAfter w:w="35" w:type="dxa"/>
        </w:trPr>
        <w:tc>
          <w:tcPr>
            <w:tcW w:w="683" w:type="dxa"/>
            <w:gridSpan w:val="2"/>
          </w:tcPr>
          <w:p w:rsidR="004419A2" w:rsidRDefault="00AA67D1" w:rsidP="004419A2">
            <w:pPr>
              <w:pStyle w:val="afff5"/>
            </w:pPr>
            <w:r>
              <w:t>3.30</w:t>
            </w:r>
          </w:p>
        </w:tc>
        <w:tc>
          <w:tcPr>
            <w:tcW w:w="276" w:type="dxa"/>
          </w:tcPr>
          <w:p w:rsidR="004419A2" w:rsidRPr="00CB432A" w:rsidRDefault="004419A2" w:rsidP="004419A2">
            <w:pPr>
              <w:pStyle w:val="afff5"/>
            </w:pPr>
          </w:p>
        </w:tc>
        <w:tc>
          <w:tcPr>
            <w:tcW w:w="2126" w:type="dxa"/>
          </w:tcPr>
          <w:p w:rsidR="004419A2" w:rsidRPr="00CB432A" w:rsidRDefault="004419A2" w:rsidP="004419A2">
            <w:pPr>
              <w:pStyle w:val="afff5"/>
            </w:pPr>
            <w:r>
              <w:t xml:space="preserve">Возможность проведения </w:t>
            </w:r>
            <w:proofErr w:type="spellStart"/>
            <w:r>
              <w:t>уторговывания</w:t>
            </w:r>
            <w:proofErr w:type="spellEnd"/>
          </w:p>
        </w:tc>
        <w:tc>
          <w:tcPr>
            <w:tcW w:w="6486" w:type="dxa"/>
          </w:tcPr>
          <w:p w:rsidR="004419A2" w:rsidRDefault="004419A2"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C85A0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070A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B070A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B070A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B070A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B070A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w:t>
            </w:r>
            <w:r w:rsidR="00C85A06">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B070A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B070A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B070A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B070A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 xml:space="preserve">Сведения о технике и оборудовании участника, необходимых </w:t>
            </w:r>
            <w:r>
              <w:lastRenderedPageBreak/>
              <w:t>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rsidR="00C85A06">
        <w:t>в Единой информационной системе</w:t>
      </w:r>
      <w:r w:rsidRPr="00CB432A">
        <w:t xml:space="preserve">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 xml:space="preserve">.2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w:t>
      </w:r>
      <w:r w:rsidR="00C85A06">
        <w:t>Необходимо</w:t>
      </w:r>
      <w:bookmarkStart w:id="0" w:name="_GoBack"/>
      <w:bookmarkEnd w:id="0"/>
      <w:r w:rsidR="002934BD">
        <w:t xml:space="preserve">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A9" w:rsidRDefault="00B070A9">
      <w:r>
        <w:separator/>
      </w:r>
    </w:p>
    <w:p w:rsidR="00B070A9" w:rsidRDefault="00B070A9"/>
  </w:endnote>
  <w:endnote w:type="continuationSeparator" w:id="0">
    <w:p w:rsidR="00B070A9" w:rsidRDefault="00B070A9">
      <w:r>
        <w:continuationSeparator/>
      </w:r>
    </w:p>
    <w:p w:rsidR="00B070A9" w:rsidRDefault="00B07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A9" w:rsidRDefault="00B070A9" w:rsidP="00311D38">
    <w:pPr>
      <w:pStyle w:val="ae"/>
      <w:jc w:val="right"/>
    </w:pPr>
    <w:r>
      <w:t>______________________</w:t>
    </w:r>
  </w:p>
  <w:p w:rsidR="00B070A9" w:rsidRPr="00311D38" w:rsidRDefault="00B070A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85A06">
      <w:rPr>
        <w:noProof/>
      </w:rPr>
      <w:t>45</w:t>
    </w:r>
    <w:r w:rsidRPr="00311D38">
      <w:fldChar w:fldCharType="end"/>
    </w:r>
    <w:r w:rsidRPr="00311D38">
      <w:t xml:space="preserve"> из </w:t>
    </w:r>
    <w:fldSimple w:instr=" NUMPAGES ">
      <w:r w:rsidR="00C85A06">
        <w:rPr>
          <w:noProof/>
        </w:rPr>
        <w:t>47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A9" w:rsidRDefault="00B070A9">
      <w:r>
        <w:separator/>
      </w:r>
    </w:p>
    <w:p w:rsidR="00B070A9" w:rsidRDefault="00B070A9"/>
  </w:footnote>
  <w:footnote w:type="continuationSeparator" w:id="0">
    <w:p w:rsidR="00B070A9" w:rsidRDefault="00B070A9">
      <w:r>
        <w:continuationSeparator/>
      </w:r>
    </w:p>
    <w:p w:rsidR="00B070A9" w:rsidRDefault="00B070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070A9"/>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5A06"/>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73ABC0C"/>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4994DFD-F534-4B31-8D19-C8E14A70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D9342C31</Template>
  <TotalTime>1301</TotalTime>
  <Pages>47</Pages>
  <Words>14050</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93948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2017-06-20T08:56:00Z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