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D60BE3" w:rsidP="00D60BE3">
      <w:pPr>
        <w:pStyle w:val="afff7"/>
        <w:jc w:val="right"/>
        <w:rPr>
          <w:b w:val="0"/>
          <w:sz w:val="24"/>
          <w:szCs w:val="24"/>
          <w:lang w:eastAsia="en-US"/>
        </w:rPr>
      </w:pPr>
      <w:r w:rsidRPr="009D0A62">
        <w:rPr>
          <w:b w:val="0"/>
          <w:sz w:val="24"/>
          <w:szCs w:val="24"/>
          <w:lang w:eastAsia="en-US"/>
        </w:rPr>
        <w:t>«_____» __________________ 201</w:t>
      </w:r>
      <w:r w:rsidR="00994385">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94385"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0504E8" w:rsidRPr="00215488">
        <w:rPr>
          <w:sz w:val="28"/>
          <w:szCs w:val="28"/>
        </w:rPr>
        <w:t xml:space="preserve"> </w:t>
      </w:r>
      <w:r w:rsidR="00B903C2" w:rsidRPr="00B903C2">
        <w:rPr>
          <w:sz w:val="28"/>
          <w:szCs w:val="28"/>
        </w:rPr>
        <w:t xml:space="preserve">по </w:t>
      </w:r>
      <w:r w:rsidR="00AA1502">
        <w:rPr>
          <w:sz w:val="28"/>
          <w:szCs w:val="28"/>
        </w:rPr>
        <w:t>замене стержневых элементов креплений фланцевых соединений, монтаж дополнительных резьбовых креплений бетонных оснований опор и фундаментных блоков надземной части газопроводов на ГРС «Лебединский ГОК»</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B432A" w:rsidRDefault="00807BA2" w:rsidP="008C273C">
      <w:r w:rsidRPr="00CB432A">
        <w:br w:type="page"/>
      </w:r>
      <w:r w:rsidRPr="00CB432A">
        <w:lastRenderedPageBreak/>
        <w:t>Содержание</w:t>
      </w:r>
    </w:p>
    <w:p w:rsidR="00807BA2" w:rsidRPr="00391486" w:rsidRDefault="0037165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37165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37165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37165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37165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37165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37165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37165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37165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7165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7165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7165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7165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37165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37165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37165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37165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37165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37165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37165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37165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37165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37165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37165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37165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37165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37165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37165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37165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37165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37165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37165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37165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37165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37165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37165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37165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37165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37165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37165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37165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37165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37165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37165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37165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37165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37165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37165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371659">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371659">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371659">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37165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051281">
        <w:rPr>
          <w:noProof/>
        </w:rPr>
        <w:t>1</w:t>
      </w:r>
    </w:p>
    <w:p w:rsidR="00807BA2" w:rsidRPr="00391486" w:rsidRDefault="0037165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37165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37165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37165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37165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37165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37165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37165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37165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37165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37165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w:t>
      </w:r>
      <w:proofErr w:type="gramStart"/>
      <w:r w:rsidRPr="00CB432A">
        <w:t>предложений</w:t>
      </w:r>
      <w:proofErr w:type="gramEnd"/>
      <w:r w:rsidRPr="00CB432A">
        <w:t xml:space="preserve">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CB432A">
        <w:t>правила</w:t>
      </w:r>
      <w:proofErr w:type="gramEnd"/>
      <w:r w:rsidRPr="00CB432A">
        <w:t xml:space="preserve">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proofErr w:type="gramStart"/>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roofErr w:type="gramEnd"/>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w:t>
      </w:r>
      <w:proofErr w:type="gramStart"/>
      <w:r w:rsidRPr="00CB432A">
        <w:t>Заявок</w:t>
      </w:r>
      <w:proofErr w:type="gramEnd"/>
      <w:r w:rsidRPr="00CB432A">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proofErr w:type="gramStart"/>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w:t>
      </w:r>
      <w:proofErr w:type="gramEnd"/>
      <w:r w:rsidRPr="00CB432A">
        <w:t xml:space="preserve">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w:t>
      </w:r>
      <w:proofErr w:type="gramStart"/>
      <w:r w:rsidRPr="00CB432A">
        <w:t xml:space="preserve"> Д</w:t>
      </w:r>
      <w:proofErr w:type="gramEnd"/>
      <w:r w:rsidRPr="00CB432A">
        <w:t>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w:t>
      </w:r>
      <w:proofErr w:type="gramStart"/>
      <w:r w:rsidRPr="00CB432A">
        <w:t xml:space="preserve"> В</w:t>
      </w:r>
      <w:proofErr w:type="gramEnd"/>
      <w:r w:rsidRPr="00CB432A">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w:t>
      </w:r>
      <w:proofErr w:type="gramStart"/>
      <w:r w:rsidRPr="00CB432A">
        <w:t>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w:t>
      </w:r>
      <w:proofErr w:type="gramEnd"/>
      <w:r w:rsidRPr="00CB432A">
        <w:t xml:space="preserve"> Требования к предмету закупки, изложенные в Техническом задании</w:t>
      </w:r>
      <w:r>
        <w:t>,</w:t>
      </w:r>
      <w:r w:rsidRPr="00CB432A">
        <w:t xml:space="preserve"> </w:t>
      </w:r>
      <w:proofErr w:type="gramStart"/>
      <w:r w:rsidRPr="00CB432A">
        <w:t>обязательны к исполнению</w:t>
      </w:r>
      <w:proofErr w:type="gramEnd"/>
      <w:r w:rsidRPr="00CB432A">
        <w:t>.</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proofErr w:type="gramStart"/>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w:t>
      </w:r>
      <w:proofErr w:type="gramEnd"/>
      <w:r w:rsidRPr="00CB432A">
        <w:t xml:space="preserve">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w:t>
      </w:r>
      <w:proofErr w:type="gramStart"/>
      <w:r w:rsidRPr="00CB432A">
        <w:t xml:space="preserve"> К</w:t>
      </w:r>
      <w:proofErr w:type="gramEnd"/>
      <w:r w:rsidRPr="00CB432A">
        <w:t xml:space="preserve">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proofErr w:type="gramStart"/>
      <w:r w:rsidRPr="00CB432A">
        <w:t xml:space="preserve"> К</w:t>
      </w:r>
      <w:proofErr w:type="gramEnd"/>
      <w:r w:rsidRPr="00CB432A">
        <w:t xml:space="preserve">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w:t>
      </w:r>
      <w:proofErr w:type="gramStart"/>
      <w:r w:rsidRPr="00CB432A">
        <w:t>,</w:t>
      </w:r>
      <w:proofErr w:type="gramEnd"/>
      <w:r w:rsidRPr="00CB432A">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CB432A">
        <w:t>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roofErr w:type="gramEnd"/>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proofErr w:type="gramStart"/>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w:t>
      </w:r>
      <w:proofErr w:type="gramEnd"/>
      <w:r w:rsidRPr="00CB432A">
        <w:t xml:space="preserve"> исполнения договора являются крупной сделкой.</w:t>
      </w:r>
    </w:p>
    <w:p w:rsidR="00343CB3" w:rsidRDefault="00343CB3" w:rsidP="00343CB3">
      <w:pPr>
        <w:pStyle w:val="afff0"/>
      </w:pPr>
      <w:r>
        <w:lastRenderedPageBreak/>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w:t>
      </w:r>
      <w:proofErr w:type="gramStart"/>
      <w:r w:rsidRPr="00CB432A">
        <w:t>с даты</w:t>
      </w:r>
      <w:proofErr w:type="gramEnd"/>
      <w:r w:rsidRPr="00CB432A">
        <w:t xml:space="preserve">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w:t>
      </w:r>
      <w:proofErr w:type="gramStart"/>
      <w:r w:rsidRPr="00CB432A">
        <w:t xml:space="preserve"> Е</w:t>
      </w:r>
      <w:proofErr w:type="gramEnd"/>
      <w:r w:rsidRPr="00CB432A">
        <w:t>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w:t>
      </w:r>
      <w:proofErr w:type="gramStart"/>
      <w:r w:rsidRPr="00CB432A">
        <w:t>образом</w:t>
      </w:r>
      <w:proofErr w:type="gramEnd"/>
      <w:r w:rsidRPr="00CB432A">
        <w:t xml:space="preserve">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1.5.1</w:t>
      </w:r>
      <w:proofErr w:type="gramStart"/>
      <w:r w:rsidRPr="00CB432A">
        <w:t xml:space="preserve"> В</w:t>
      </w:r>
      <w:proofErr w:type="gramEnd"/>
      <w:r w:rsidRPr="00CB432A">
        <w:t xml:space="preserve">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w:t>
      </w:r>
      <w:proofErr w:type="gramStart"/>
      <w:r w:rsidRPr="00CB432A">
        <w:t xml:space="preserve"> Е</w:t>
      </w:r>
      <w:proofErr w:type="gramEnd"/>
      <w:r w:rsidRPr="00CB432A">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w:t>
      </w:r>
      <w:proofErr w:type="gramStart"/>
      <w:r w:rsidRPr="00CB432A">
        <w:t xml:space="preserve"> П</w:t>
      </w:r>
      <w:proofErr w:type="gramEnd"/>
      <w:r w:rsidRPr="00CB432A">
        <w:t>рочие положения</w:t>
      </w:r>
    </w:p>
    <w:p w:rsidR="00343CB3" w:rsidRPr="00CB432A" w:rsidRDefault="00343CB3" w:rsidP="00343CB3">
      <w:pPr>
        <w:pStyle w:val="30"/>
      </w:pPr>
      <w:r w:rsidRPr="00CB432A">
        <w:t>1.6.1</w:t>
      </w:r>
      <w:proofErr w:type="gramStart"/>
      <w:r w:rsidRPr="00CB432A">
        <w:t xml:space="preserve"> П</w:t>
      </w:r>
      <w:proofErr w:type="gramEnd"/>
      <w:r w:rsidRPr="00CB432A">
        <w:t>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w:t>
      </w:r>
      <w:proofErr w:type="gramStart"/>
      <w:r w:rsidRPr="00CB432A">
        <w:t>никаких условий, противоречащих требованиям Документации о Запросе предложений и включала</w:t>
      </w:r>
      <w:proofErr w:type="gramEnd"/>
      <w:r w:rsidRPr="00CB432A">
        <w:t xml:space="preserve">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w:t>
      </w:r>
      <w:proofErr w:type="gramStart"/>
      <w:r w:rsidRPr="00CB432A">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w:t>
      </w:r>
      <w:r w:rsidRPr="00CB432A">
        <w:lastRenderedPageBreak/>
        <w:t>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343CB3" w:rsidRPr="00CB432A" w:rsidRDefault="00343CB3" w:rsidP="00343CB3">
      <w:pPr>
        <w:pStyle w:val="43"/>
      </w:pPr>
      <w:r w:rsidRPr="00CB432A">
        <w:t>2.3.1.3</w:t>
      </w:r>
      <w:proofErr w:type="gramStart"/>
      <w:r w:rsidRPr="00CB432A">
        <w:t xml:space="preserve"> Н</w:t>
      </w:r>
      <w:proofErr w:type="gramEnd"/>
      <w:r w:rsidRPr="00CB432A">
        <w:t>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2.3.1.6. В случае</w:t>
      </w:r>
      <w:proofErr w:type="gramStart"/>
      <w:r w:rsidRPr="00CB432A">
        <w:t>,</w:t>
      </w:r>
      <w:proofErr w:type="gramEnd"/>
      <w:r w:rsidRPr="00CB432A">
        <w:t xml:space="preserve">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w:t>
      </w:r>
      <w:proofErr w:type="gramStart"/>
      <w:r w:rsidRPr="00CB432A">
        <w:t xml:space="preserve"> В</w:t>
      </w:r>
      <w:proofErr w:type="gramEnd"/>
      <w:r w:rsidRPr="00CB432A">
        <w:t>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w:t>
      </w:r>
      <w:proofErr w:type="gramStart"/>
      <w:r w:rsidRPr="00CB432A">
        <w:t xml:space="preserve"> Е</w:t>
      </w:r>
      <w:proofErr w:type="gramEnd"/>
      <w:r w:rsidRPr="00CB432A">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w:t>
      </w:r>
      <w:proofErr w:type="gramStart"/>
      <w:r w:rsidRPr="00CB432A">
        <w:t xml:space="preserve"> Л</w:t>
      </w:r>
      <w:proofErr w:type="gramEnd"/>
      <w:r w:rsidRPr="00CB432A">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w:t>
      </w:r>
      <w:proofErr w:type="gramStart"/>
      <w:r w:rsidRPr="00CB432A">
        <w:t xml:space="preserve"> В</w:t>
      </w:r>
      <w:proofErr w:type="gramEnd"/>
      <w:r w:rsidRPr="00CB432A">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3"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w:t>
      </w:r>
      <w:proofErr w:type="gramStart"/>
      <w:r w:rsidRPr="00CB432A">
        <w:t>от</w:t>
      </w:r>
      <w:proofErr w:type="gramEnd"/>
      <w:r w:rsidRPr="00CB432A">
        <w:t xml:space="preserve"> _______ </w:t>
      </w:r>
      <w:proofErr w:type="gramStart"/>
      <w:r w:rsidRPr="00CB432A">
        <w:t>на</w:t>
      </w:r>
      <w:proofErr w:type="gramEnd"/>
      <w:r w:rsidRPr="00CB432A">
        <w:t xml:space="preserve"> </w:t>
      </w:r>
      <w:r>
        <w:t xml:space="preserve">выполнение </w:t>
      </w:r>
      <w:r w:rsidRPr="009231E8">
        <w:t xml:space="preserve">работ </w:t>
      </w:r>
      <w:r w:rsidR="009231E8" w:rsidRPr="009231E8">
        <w:t>по замене стержневых элементов креплений фланцевых соединений, монтаж дополнительных резьбовых креплений бетонных оснований опор и фундаментных блоков надземной части газопроводов на ГРС «Лебединский ГОК»</w:t>
      </w:r>
      <w:r w:rsidR="009231E8" w:rsidRPr="009231E8">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xml:space="preserve">№ </w:t>
            </w:r>
            <w:proofErr w:type="gramStart"/>
            <w:r w:rsidRPr="00CB432A">
              <w:t>п</w:t>
            </w:r>
            <w:proofErr w:type="gramEnd"/>
            <w:r w:rsidRPr="00CB432A">
              <w:t>/п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w:t>
      </w:r>
      <w:proofErr w:type="gramStart"/>
      <w:r w:rsidRPr="00CB432A">
        <w:t xml:space="preserve"> Д</w:t>
      </w:r>
      <w:proofErr w:type="gramEnd"/>
      <w:r w:rsidRPr="00CB432A">
        <w:t>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w:t>
      </w:r>
      <w:proofErr w:type="gramStart"/>
      <w:r w:rsidRPr="00CB432A">
        <w:t xml:space="preserve"> В</w:t>
      </w:r>
      <w:proofErr w:type="gramEnd"/>
      <w:r w:rsidRPr="00CB432A">
        <w:t xml:space="preserve">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2.5.5</w:t>
      </w:r>
      <w:proofErr w:type="gramStart"/>
      <w:r w:rsidRPr="00CB432A">
        <w:t xml:space="preserve"> В</w:t>
      </w:r>
      <w:proofErr w:type="gramEnd"/>
      <w:r w:rsidRPr="00CB432A">
        <w:t xml:space="preserve">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w:t>
      </w:r>
      <w:proofErr w:type="gramStart"/>
      <w:r w:rsidRPr="00CB432A">
        <w:t xml:space="preserve"> П</w:t>
      </w:r>
      <w:proofErr w:type="gramEnd"/>
      <w:r w:rsidRPr="00CB432A">
        <w:t>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CB432A">
        <w:t>истечения</w:t>
      </w:r>
      <w:proofErr w:type="gramEnd"/>
      <w:r w:rsidRPr="00CB432A">
        <w:t xml:space="preserve">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w:t>
      </w:r>
      <w:proofErr w:type="gramStart"/>
      <w:r w:rsidRPr="00CB432A">
        <w:t xml:space="preserve"> К</w:t>
      </w:r>
      <w:proofErr w:type="gramEnd"/>
      <w:r w:rsidRPr="00CB432A">
        <w:t>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w:t>
      </w:r>
      <w:proofErr w:type="gramStart"/>
      <w:r w:rsidRPr="00D076C1">
        <w:rPr>
          <w:szCs w:val="24"/>
        </w:rPr>
        <w:t xml:space="preserve">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CD7AB4" w:rsidRDefault="00343CB3" w:rsidP="00842C09">
            <w:pPr>
              <w:jc w:val="both"/>
              <w:rPr>
                <w:sz w:val="22"/>
                <w:szCs w:val="22"/>
              </w:rPr>
            </w:pPr>
            <w:r w:rsidRPr="00CD7AB4">
              <w:rPr>
                <w:sz w:val="22"/>
                <w:szCs w:val="22"/>
              </w:rPr>
              <w:t xml:space="preserve">Заявка </w:t>
            </w:r>
            <w:proofErr w:type="gramStart"/>
            <w:r w:rsidRPr="00CD7AB4">
              <w:rPr>
                <w:sz w:val="22"/>
                <w:szCs w:val="22"/>
              </w:rPr>
              <w:t xml:space="preserve">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выполнения</w:t>
            </w:r>
            <w:proofErr w:type="gramEnd"/>
            <w:r w:rsidR="000A7DB2" w:rsidRPr="00CD7AB4">
              <w:rPr>
                <w:color w:val="000000"/>
                <w:sz w:val="22"/>
                <w:szCs w:val="22"/>
              </w:rPr>
              <w:t xml:space="preserve"> </w:t>
            </w:r>
            <w:r w:rsidR="00CD7AB4" w:rsidRPr="00CD7AB4">
              <w:t xml:space="preserve">работ по </w:t>
            </w:r>
            <w:r w:rsidR="009231E8" w:rsidRPr="009231E8">
              <w:t xml:space="preserve">замене стержневых элементов креплений фланцевых соединений, монтаж дополнительных резьбовых креплений бетонных оснований опор и фундаментных блоков надземной части газопроводов на ГРС «Лебединский ГОК»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w:t>
            </w:r>
            <w:proofErr w:type="gramStart"/>
            <w:r w:rsidRPr="00CD7AB4">
              <w:rPr>
                <w:szCs w:val="24"/>
              </w:rPr>
              <w:t>ДО</w:t>
            </w:r>
            <w:proofErr w:type="gramEnd"/>
            <w:r w:rsidRPr="00CD7AB4">
              <w:rPr>
                <w:szCs w:val="24"/>
              </w:rPr>
              <w:t xml:space="preserve"> ___________(</w:t>
            </w:r>
            <w:proofErr w:type="gramStart"/>
            <w:r w:rsidRPr="00CD7AB4">
              <w:rPr>
                <w:szCs w:val="24"/>
              </w:rPr>
              <w:t>время</w:t>
            </w:r>
            <w:proofErr w:type="gramEnd"/>
            <w:r w:rsidRPr="00CD7AB4">
              <w:rPr>
                <w:szCs w:val="24"/>
              </w:rPr>
              <w:t xml:space="preserve">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w:t>
            </w:r>
            <w:proofErr w:type="gramStart"/>
            <w:r w:rsidRPr="00CD7AB4">
              <w:rPr>
                <w:szCs w:val="24"/>
              </w:rPr>
              <w:t>От</w:t>
            </w:r>
            <w:proofErr w:type="gramEnd"/>
            <w:r w:rsidRPr="00CD7AB4">
              <w:rPr>
                <w:szCs w:val="24"/>
              </w:rPr>
              <w:t xml:space="preserve">: </w:t>
            </w:r>
            <w:proofErr w:type="gramStart"/>
            <w:r w:rsidRPr="00CD7AB4">
              <w:rPr>
                <w:i/>
                <w:szCs w:val="24"/>
              </w:rPr>
              <w:t>наименование</w:t>
            </w:r>
            <w:proofErr w:type="gramEnd"/>
            <w:r w:rsidRPr="00CD7AB4">
              <w:rPr>
                <w:i/>
                <w:szCs w:val="24"/>
              </w:rPr>
              <w:t xml:space="preserve">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proofErr w:type="gramStart"/>
      <w:r>
        <w:rPr>
          <w:szCs w:val="24"/>
        </w:rPr>
        <w:t>,</w:t>
      </w:r>
      <w:proofErr w:type="gramEnd"/>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2.8.1</w:t>
      </w:r>
      <w:proofErr w:type="gramStart"/>
      <w:r w:rsidRPr="00CB432A">
        <w:t xml:space="preserve"> В</w:t>
      </w:r>
      <w:proofErr w:type="gramEnd"/>
      <w:r w:rsidRPr="00CB432A">
        <w:t xml:space="preserve">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proofErr w:type="gramStart"/>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w:t>
      </w:r>
      <w:proofErr w:type="gramEnd"/>
      <w:r w:rsidRPr="00C7372D">
        <w:rPr>
          <w:color w:val="000000"/>
        </w:rPr>
        <w:t xml:space="preserve">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w:t>
      </w:r>
      <w:proofErr w:type="gramStart"/>
      <w:r w:rsidRPr="00C7372D">
        <w:rPr>
          <w:color w:val="000000"/>
        </w:rPr>
        <w:t>,</w:t>
      </w:r>
      <w:proofErr w:type="gramEnd"/>
      <w:r w:rsidRPr="00C7372D">
        <w:rPr>
          <w:color w:val="000000"/>
        </w:rPr>
        <w:t xml:space="preserve">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w:t>
      </w:r>
      <w:proofErr w:type="gramStart"/>
      <w:r w:rsidRPr="00CB432A">
        <w:t>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roofErr w:type="gramEnd"/>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w:t>
      </w:r>
      <w:proofErr w:type="gramStart"/>
      <w:r w:rsidRPr="00CB432A">
        <w:t xml:space="preserve"> П</w:t>
      </w:r>
      <w:proofErr w:type="gramEnd"/>
      <w:r w:rsidRPr="00CB432A">
        <w:t>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2.9.2.5</w:t>
      </w:r>
      <w:proofErr w:type="gramStart"/>
      <w:r w:rsidRPr="00CB432A">
        <w:t xml:space="preserve"> Н</w:t>
      </w:r>
      <w:proofErr w:type="gramEnd"/>
      <w:r w:rsidRPr="00CB432A">
        <w:t xml:space="preserve">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proofErr w:type="gramStart"/>
      <w:r w:rsidRPr="00CB432A">
        <w:t xml:space="preserve"> Е</w:t>
      </w:r>
      <w:proofErr w:type="gramEnd"/>
      <w:r w:rsidRPr="00CB432A">
        <w:t xml:space="preserve">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CB432A">
        <w:t>несостоявшимся</w:t>
      </w:r>
      <w:proofErr w:type="gramEnd"/>
      <w:r w:rsidRPr="00CB432A">
        <w:t xml:space="preserve"> принимает Комиссия по подведению итогов. Информация о признании Запроса предложений </w:t>
      </w:r>
      <w:proofErr w:type="gramStart"/>
      <w:r w:rsidRPr="00CB432A">
        <w:t>несостоявшимся</w:t>
      </w:r>
      <w:proofErr w:type="gramEnd"/>
      <w:r w:rsidRPr="00CB432A">
        <w:t xml:space="preserve">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proofErr w:type="gramStart"/>
      <w:r w:rsidRPr="00CB432A">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w:t>
      </w:r>
      <w:proofErr w:type="gramEnd"/>
      <w:r w:rsidRPr="00CB432A">
        <w:t xml:space="preserve">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w:t>
      </w:r>
      <w:proofErr w:type="gramStart"/>
      <w:r w:rsidRPr="00CB432A">
        <w:t xml:space="preserve"> В</w:t>
      </w:r>
      <w:proofErr w:type="gramEnd"/>
      <w:r w:rsidRPr="00CB432A">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lastRenderedPageBreak/>
        <w:t>2.9.3.</w:t>
      </w:r>
      <w:r>
        <w:t>3</w:t>
      </w:r>
      <w:proofErr w:type="gramStart"/>
      <w:r w:rsidRPr="00CB432A">
        <w:t xml:space="preserve"> П</w:t>
      </w:r>
      <w:proofErr w:type="gramEnd"/>
      <w:r w:rsidRPr="00CB432A">
        <w:t>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w:t>
      </w:r>
      <w:proofErr w:type="gramStart"/>
      <w:r w:rsidRPr="00CB432A">
        <w:t xml:space="preserve"> Н</w:t>
      </w:r>
      <w:proofErr w:type="gramEnd"/>
      <w:r w:rsidRPr="00CB432A">
        <w:t>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 xml:space="preserve">в) об отклонении всех Заявок на участие в Запросе предложений и признании Запроса предложений </w:t>
      </w:r>
      <w:proofErr w:type="gramStart"/>
      <w:r w:rsidRPr="00CB432A">
        <w:t>несостоявшимся</w:t>
      </w:r>
      <w:proofErr w:type="gramEnd"/>
      <w:r w:rsidRPr="00CB432A">
        <w:t>;</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2.10.4</w:t>
      </w:r>
      <w:proofErr w:type="gramStart"/>
      <w:r w:rsidRPr="004206F6">
        <w:t xml:space="preserve"> Е</w:t>
      </w:r>
      <w:proofErr w:type="gramEnd"/>
      <w:r w:rsidRPr="004206F6">
        <w:t xml:space="preserve">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w:t>
      </w:r>
      <w:proofErr w:type="gramStart"/>
      <w:r w:rsidRPr="00CB432A">
        <w:t>с даты подписания</w:t>
      </w:r>
      <w:proofErr w:type="gramEnd"/>
      <w:r w:rsidRPr="00CB432A">
        <w:t xml:space="preserve">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w:t>
      </w:r>
      <w:proofErr w:type="gramStart"/>
      <w:r w:rsidRPr="00CB432A">
        <w:t xml:space="preserve"> В</w:t>
      </w:r>
      <w:proofErr w:type="gramEnd"/>
      <w:r w:rsidRPr="00CB432A">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w:t>
      </w:r>
      <w:proofErr w:type="gramStart"/>
      <w:r w:rsidRPr="00CB432A">
        <w:t xml:space="preserve"> В</w:t>
      </w:r>
      <w:proofErr w:type="gramEnd"/>
      <w:r w:rsidRPr="00CB432A">
        <w:t xml:space="preserve">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proofErr w:type="gramStart"/>
      <w:r>
        <w:t xml:space="preserve"> </w:t>
      </w:r>
      <w:r w:rsidRPr="00107D56">
        <w:t>Е</w:t>
      </w:r>
      <w:proofErr w:type="gramEnd"/>
      <w:r w:rsidRPr="00107D56">
        <w:t xml:space="preserve">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4"/>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xml:space="preserve">№ </w:t>
            </w:r>
            <w:proofErr w:type="gramStart"/>
            <w:r w:rsidRPr="00CB432A">
              <w:t>п</w:t>
            </w:r>
            <w:proofErr w:type="gramEnd"/>
            <w:r w:rsidRPr="00CB432A">
              <w:t>/п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6C146B" w:rsidRDefault="00CD7AB4" w:rsidP="00954BF2">
            <w:pPr>
              <w:jc w:val="both"/>
              <w:rPr>
                <w:highlight w:val="lightGray"/>
              </w:rPr>
            </w:pPr>
            <w:r>
              <w:t xml:space="preserve">выполнение работ по </w:t>
            </w:r>
            <w:r w:rsidR="00954BF2" w:rsidRPr="009231E8">
              <w:t xml:space="preserve">замене стержневых элементов креплений фланцевых соединений, монтаж дополнительных резьбовых креплений бетонных оснований опор и фундаментных блоков надземной части газопроводов на ГРС «Лебединский ГОК» </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C35CF7">
            <w:pPr>
              <w:pStyle w:val="afff5"/>
            </w:pPr>
            <w:r w:rsidRPr="00CB432A">
              <w:t>Запрос п</w:t>
            </w:r>
            <w:r>
              <w:t>редложений объявлен Извещением</w:t>
            </w:r>
            <w:r w:rsidRPr="00CB432A">
              <w:t xml:space="preserve">, опубликованным на Официальном сайте </w:t>
            </w:r>
            <w:hyperlink r:id="rId15" w:history="1">
              <w:r w:rsidRPr="00DC6235">
                <w:rPr>
                  <w:rStyle w:val="a7"/>
                </w:rPr>
                <w:t>http://zakupki.gov.ru</w:t>
              </w:r>
            </w:hyperlink>
            <w:r>
              <w:t xml:space="preserve"> </w:t>
            </w:r>
            <w:r w:rsidR="00C35CF7">
              <w:t>02 февраля</w:t>
            </w:r>
            <w:r w:rsidRPr="00A909A8">
              <w:rPr>
                <w:noProof/>
              </w:rPr>
              <w:t xml:space="preserve"> 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w:t>
            </w:r>
            <w:r w:rsidRPr="00CB432A">
              <w:lastRenderedPageBreak/>
              <w:t>(максимальная) цена предмета закупки</w:t>
            </w:r>
          </w:p>
          <w:p w:rsidR="006C146B" w:rsidRPr="00CB432A" w:rsidRDefault="006C146B" w:rsidP="00F176CD">
            <w:pPr>
              <w:jc w:val="both"/>
              <w:rPr>
                <w:sz w:val="22"/>
                <w:szCs w:val="22"/>
              </w:rPr>
            </w:pPr>
          </w:p>
        </w:tc>
        <w:tc>
          <w:tcPr>
            <w:tcW w:w="6486" w:type="dxa"/>
          </w:tcPr>
          <w:p w:rsidR="006C146B" w:rsidRPr="00A909A8" w:rsidRDefault="006C146B" w:rsidP="00F176CD">
            <w:pPr>
              <w:jc w:val="both"/>
              <w:rPr>
                <w:sz w:val="22"/>
                <w:szCs w:val="22"/>
              </w:rPr>
            </w:pPr>
            <w:r w:rsidRPr="002D3732">
              <w:rPr>
                <w:sz w:val="22"/>
                <w:szCs w:val="22"/>
              </w:rPr>
              <w:lastRenderedPageBreak/>
              <w:t xml:space="preserve">Начальная (максимальная) цена предмета закупки для </w:t>
            </w:r>
            <w:r w:rsidRPr="00A909A8">
              <w:rPr>
                <w:sz w:val="22"/>
                <w:szCs w:val="22"/>
              </w:rPr>
              <w:lastRenderedPageBreak/>
              <w:t>участников, не освобожденных от уплаты НДС (с НДС):</w:t>
            </w:r>
          </w:p>
          <w:p w:rsidR="006C146B" w:rsidRPr="00A909A8" w:rsidRDefault="007D7421" w:rsidP="00F176CD">
            <w:pPr>
              <w:jc w:val="both"/>
              <w:rPr>
                <w:sz w:val="22"/>
                <w:szCs w:val="22"/>
              </w:rPr>
            </w:pPr>
            <w:r>
              <w:rPr>
                <w:sz w:val="22"/>
                <w:szCs w:val="22"/>
              </w:rPr>
              <w:t>898513,48</w:t>
            </w:r>
            <w:r w:rsidR="006C146B" w:rsidRPr="00A909A8">
              <w:rPr>
                <w:sz w:val="22"/>
                <w:szCs w:val="22"/>
              </w:rPr>
              <w:t xml:space="preserve"> руб. (</w:t>
            </w:r>
            <w:r>
              <w:rPr>
                <w:sz w:val="22"/>
                <w:szCs w:val="22"/>
              </w:rPr>
              <w:t xml:space="preserve">Восемьсот девяносто восемь тысяч пятьсот тринадцать </w:t>
            </w:r>
            <w:r w:rsidR="00043D00">
              <w:rPr>
                <w:sz w:val="22"/>
                <w:szCs w:val="22"/>
              </w:rPr>
              <w:t xml:space="preserve">рублей </w:t>
            </w:r>
            <w:r>
              <w:rPr>
                <w:sz w:val="22"/>
                <w:szCs w:val="22"/>
              </w:rPr>
              <w:t>48</w:t>
            </w:r>
            <w:r w:rsidR="00043D00">
              <w:rPr>
                <w:sz w:val="22"/>
                <w:szCs w:val="22"/>
              </w:rPr>
              <w:t xml:space="preserve"> копеек</w:t>
            </w:r>
            <w:r w:rsidR="006C146B" w:rsidRPr="00A909A8">
              <w:rPr>
                <w:sz w:val="22"/>
                <w:szCs w:val="22"/>
              </w:rPr>
              <w:t>).</w:t>
            </w:r>
          </w:p>
          <w:p w:rsidR="006C146B" w:rsidRPr="00A909A8" w:rsidRDefault="006C146B" w:rsidP="00F176CD">
            <w:pPr>
              <w:jc w:val="both"/>
              <w:rPr>
                <w:sz w:val="22"/>
                <w:szCs w:val="22"/>
              </w:rPr>
            </w:pPr>
          </w:p>
          <w:p w:rsidR="006C146B" w:rsidRPr="00A909A8" w:rsidRDefault="006C146B" w:rsidP="00F176CD">
            <w:pPr>
              <w:jc w:val="both"/>
              <w:rPr>
                <w:sz w:val="22"/>
                <w:szCs w:val="22"/>
              </w:rPr>
            </w:pPr>
            <w:r w:rsidRPr="00A909A8">
              <w:rPr>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6C146B" w:rsidRPr="00CB432A" w:rsidRDefault="007D7421" w:rsidP="007D7421">
            <w:pPr>
              <w:pStyle w:val="afff5"/>
            </w:pPr>
            <w:r>
              <w:rPr>
                <w:sz w:val="24"/>
                <w:szCs w:val="24"/>
              </w:rPr>
              <w:t>761452,10</w:t>
            </w:r>
            <w:r w:rsidR="006C146B" w:rsidRPr="00A909A8">
              <w:rPr>
                <w:sz w:val="24"/>
                <w:szCs w:val="24"/>
              </w:rPr>
              <w:t xml:space="preserve"> руб. (</w:t>
            </w:r>
            <w:r>
              <w:rPr>
                <w:sz w:val="24"/>
                <w:szCs w:val="24"/>
              </w:rPr>
              <w:t>Семьсот шестьдесят одна тысяча четыреста пятьдесят два рубля 10 копеек</w:t>
            </w:r>
            <w:r w:rsidR="006C146B" w:rsidRPr="00A909A8">
              <w:rPr>
                <w:sz w:val="24"/>
                <w:szCs w:val="24"/>
              </w:rPr>
              <w:t>).</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6C146B" w:rsidP="00F176CD">
            <w:pPr>
              <w:pStyle w:val="afff5"/>
            </w:pPr>
            <w:r w:rsidRPr="00CB432A">
              <w:t>Не 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6C146B" w:rsidP="00F176CD">
            <w:pPr>
              <w:pStyle w:val="afff5"/>
            </w:pPr>
            <w:r w:rsidRPr="00CB432A">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F52570">
              <w:t>02 февраля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F52570" w:rsidP="00F52570">
            <w:pPr>
              <w:pStyle w:val="afff5"/>
            </w:pPr>
            <w:r>
              <w:t>11</w:t>
            </w:r>
            <w:r w:rsidR="00A909A8" w:rsidRPr="00A909A8">
              <w:t xml:space="preserve"> </w:t>
            </w:r>
            <w:r>
              <w:t>февраля</w:t>
            </w:r>
            <w:r w:rsidR="006C146B" w:rsidRPr="00A909A8">
              <w:t xml:space="preserve"> 201</w:t>
            </w:r>
            <w:r>
              <w:t>5</w:t>
            </w:r>
            <w:r w:rsidR="006C146B" w:rsidRPr="00A909A8">
              <w:t xml:space="preserve"> года </w:t>
            </w:r>
            <w:r w:rsidR="00A909A8">
              <w:t>11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F52570" w:rsidP="00F176CD">
            <w:pPr>
              <w:pStyle w:val="afff5"/>
            </w:pPr>
            <w:r>
              <w:rPr>
                <w:noProof/>
              </w:rPr>
              <w:t>11 февраля</w:t>
            </w:r>
            <w:r w:rsidR="006C146B" w:rsidRPr="00BA6290">
              <w:rPr>
                <w:noProof/>
              </w:rPr>
              <w:t xml:space="preserve"> 201</w:t>
            </w:r>
            <w:r>
              <w:rPr>
                <w:noProof/>
              </w:rPr>
              <w:t>5</w:t>
            </w:r>
            <w:r w:rsidR="006C146B" w:rsidRPr="00BA6290">
              <w:t xml:space="preserve"> года    1</w:t>
            </w:r>
            <w:r w:rsidR="00C975A5">
              <w:t>2</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6C146B" w:rsidRPr="00CB432A" w:rsidRDefault="00F52570" w:rsidP="00C975A5">
            <w:pPr>
              <w:pStyle w:val="afff5"/>
            </w:pPr>
            <w:r>
              <w:t>11 февраля</w:t>
            </w:r>
            <w:r w:rsidR="006C146B" w:rsidRPr="00BA6290">
              <w:t xml:space="preserve"> 201</w:t>
            </w:r>
            <w:r>
              <w:t>5</w:t>
            </w:r>
            <w:r w:rsidR="006C146B" w:rsidRPr="00BA6290">
              <w:t xml:space="preserve"> г. 1</w:t>
            </w:r>
            <w:r w:rsidR="00C975A5">
              <w:t>4</w:t>
            </w:r>
            <w:r w:rsidR="006C146B" w:rsidRPr="00BA6290">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F52570" w:rsidP="00C975A5">
            <w:pPr>
              <w:pStyle w:val="afff5"/>
            </w:pPr>
            <w:r>
              <w:t>12 февраля</w:t>
            </w:r>
            <w:r w:rsidR="00BA6290" w:rsidRPr="00BA6290">
              <w:t xml:space="preserve"> </w:t>
            </w:r>
            <w:r w:rsidR="006C146B" w:rsidRPr="00BA6290">
              <w:t>1</w:t>
            </w:r>
            <w:r w:rsidR="00C975A5">
              <w:t>4</w:t>
            </w:r>
            <w:r w:rsidR="006C146B" w:rsidRPr="00BA6290">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заключения </w:t>
            </w:r>
            <w:r w:rsidRPr="00CB432A">
              <w:lastRenderedPageBreak/>
              <w:t>договора</w:t>
            </w:r>
          </w:p>
        </w:tc>
        <w:tc>
          <w:tcPr>
            <w:tcW w:w="6486" w:type="dxa"/>
          </w:tcPr>
          <w:p w:rsidR="006C146B" w:rsidRPr="008D2169" w:rsidRDefault="006C146B" w:rsidP="00F176CD">
            <w:pPr>
              <w:pStyle w:val="afff5"/>
            </w:pPr>
            <w:r w:rsidRPr="008D2169">
              <w:lastRenderedPageBreak/>
              <w:t xml:space="preserve">Не позднее </w:t>
            </w:r>
            <w:r>
              <w:t>1</w:t>
            </w:r>
            <w:r w:rsidRPr="008D2169">
              <w:t>0 (д</w:t>
            </w:r>
            <w:r>
              <w:t>есяти</w:t>
            </w:r>
            <w:r w:rsidRPr="008D2169">
              <w:t xml:space="preserve">) календарных дней со дня завершения </w:t>
            </w:r>
            <w:r w:rsidRPr="008D2169">
              <w:lastRenderedPageBreak/>
              <w:t>закупки и оформления итогового протокола.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3.20</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6C146B" w:rsidRPr="00CB432A" w:rsidRDefault="006C146B" w:rsidP="00F176CD">
            <w:pPr>
              <w:pStyle w:val="afff5"/>
            </w:pPr>
            <w:r w:rsidRPr="00CB432A">
              <w:t>Не устанавливаются, если иное не установлено п.3.25.</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C975A5">
            <w:pPr>
              <w:pStyle w:val="afff5"/>
            </w:pPr>
            <w:r>
              <w:t>Устанавливается в техническом задании п</w:t>
            </w:r>
            <w:r w:rsidR="00F52570">
              <w:t>ункт</w:t>
            </w:r>
            <w:r>
              <w:t xml:space="preserve"> </w:t>
            </w:r>
            <w:r w:rsidR="00C975A5">
              <w:t>4</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 xml:space="preserve">Требования к статусу Участника – Участник должен являться изготовителем, дилером изготовителя </w:t>
            </w:r>
          </w:p>
        </w:tc>
        <w:tc>
          <w:tcPr>
            <w:tcW w:w="6486" w:type="dxa"/>
          </w:tcPr>
          <w:p w:rsidR="006C146B" w:rsidRPr="00CB432A" w:rsidRDefault="006C146B" w:rsidP="00F176CD">
            <w:pPr>
              <w:pStyle w:val="afff5"/>
            </w:pPr>
            <w:r>
              <w:t>Не устанавливаются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Требования к условиям поставки</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xml:space="preserve">) календарных дней, путём перечисления денежных средств на расчётный счет Подрядчика на основании </w:t>
            </w:r>
            <w:r w:rsidRPr="00782A20">
              <w:rPr>
                <w:noProof/>
                <w:sz w:val="22"/>
                <w:szCs w:val="22"/>
              </w:rPr>
              <w:lastRenderedPageBreak/>
              <w:t>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техники и оборудования </w:t>
            </w:r>
          </w:p>
          <w:p w:rsidR="006C146B" w:rsidRPr="00CB432A" w:rsidRDefault="006C146B" w:rsidP="00F176CD">
            <w:pPr>
              <w:pStyle w:val="afff5"/>
            </w:pPr>
            <w:r>
              <w:t xml:space="preserve">- Наличие трудовых ресурсов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 xml:space="preserve">Весомость критерия </w:t>
            </w:r>
            <w:proofErr w:type="gramStart"/>
            <w:r w:rsidRPr="00CB432A">
              <w:t>в</w:t>
            </w:r>
            <w:proofErr w:type="gramEnd"/>
            <w:r w:rsidRPr="00CB432A">
              <w:t xml:space="preserve">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6C146B" w:rsidP="00F176CD">
            <w:pPr>
              <w:pStyle w:val="afff5"/>
            </w:pPr>
            <w:r>
              <w:t>Наличие техники и оборудования</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 xml:space="preserve">Наличие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176CD">
            <w:pPr>
              <w:pStyle w:val="afff5"/>
            </w:pPr>
            <w:r w:rsidRPr="00CB432A">
              <w:t>3.30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6"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Rk</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w:t>
            </w:r>
            <w:proofErr w:type="gramStart"/>
            <w:r w:rsidRPr="00CB432A">
              <w:rPr>
                <w:sz w:val="22"/>
                <w:szCs w:val="22"/>
              </w:rPr>
              <w:t>i</w:t>
            </w:r>
            <w:proofErr w:type="spellEnd"/>
            <w:proofErr w:type="gram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proofErr w:type="gramStart"/>
            <w:r w:rsidRPr="008D68FD">
              <w:rPr>
                <w:sz w:val="22"/>
                <w:szCs w:val="22"/>
              </w:rPr>
              <w:t>V</w:t>
            </w:r>
            <w:proofErr w:type="gramEnd"/>
            <w:r w:rsidRPr="008D68FD">
              <w:rPr>
                <w:sz w:val="22"/>
                <w:szCs w:val="22"/>
              </w:rPr>
              <w:t>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proofErr w:type="gramStart"/>
            <w:r w:rsidRPr="00CB432A">
              <w:rPr>
                <w:b/>
              </w:rPr>
              <w:t xml:space="preserve"> )</w:t>
            </w:r>
            <w:proofErr w:type="gramEnd"/>
            <w:r w:rsidRPr="00CB432A">
              <w:rPr>
                <w:b/>
              </w:rPr>
              <w:t xml:space="preserve">/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w:t>
            </w:r>
            <w:proofErr w:type="gramStart"/>
            <w:r w:rsidRPr="00CB432A">
              <w:t>i</w:t>
            </w:r>
            <w:proofErr w:type="spellEnd"/>
            <w:proofErr w:type="gram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w:t>
            </w:r>
            <w:proofErr w:type="gramStart"/>
            <w:r w:rsidRPr="00CB432A">
              <w:t>i</w:t>
            </w:r>
            <w:proofErr w:type="spellEnd"/>
            <w:proofErr w:type="gramEnd"/>
            <w:r w:rsidRPr="00CB432A">
              <w:t xml:space="preserve"> – предложение о цене закупки по заявке i-</w:t>
            </w:r>
            <w:proofErr w:type="spellStart"/>
            <w:r w:rsidRPr="00CB432A">
              <w:t>го</w:t>
            </w:r>
            <w:proofErr w:type="spellEnd"/>
            <w:r w:rsidRPr="00CB432A">
              <w:t xml:space="preserve"> Участника </w:t>
            </w:r>
            <w:r w:rsidRPr="00CB432A">
              <w:lastRenderedPageBreak/>
              <w:t xml:space="preserve">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CB432A">
              <w:rPr>
                <w:sz w:val="22"/>
                <w:szCs w:val="22"/>
              </w:rPr>
              <w:t>налога</w:t>
            </w:r>
            <w:proofErr w:type="gramEnd"/>
            <w:r w:rsidRPr="00CB432A">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37165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371659"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«На</w:t>
            </w:r>
            <w:r w:rsidR="006C146B">
              <w:t>личие техники и оборудования»;</w:t>
            </w:r>
          </w:p>
          <w:p w:rsidR="006C146B" w:rsidRPr="00030415" w:rsidRDefault="00371659"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371659"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proofErr w:type="spellStart"/>
            <w:r w:rsidR="006C146B">
              <w:rPr>
                <w:lang w:val="en-US"/>
              </w:rPr>
              <w:t>i</w:t>
            </w:r>
            <w:proofErr w:type="spellEnd"/>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Pr="00CB432A" w:rsidRDefault="006C146B" w:rsidP="00F176CD">
            <w:pPr>
              <w:pStyle w:val="afff5"/>
              <w:rPr>
                <w:b/>
              </w:rPr>
            </w:pPr>
            <w:r w:rsidRPr="00CB432A">
              <w:rPr>
                <w:b/>
              </w:rPr>
              <w:t>3.Оценка по критерию «</w:t>
            </w:r>
            <w:r>
              <w:rPr>
                <w:b/>
              </w:rPr>
              <w:t>Наличие трудовых ресурсов</w:t>
            </w:r>
            <w:r w:rsidRPr="00CB432A">
              <w:rPr>
                <w:b/>
              </w:rPr>
              <w:t>»</w:t>
            </w:r>
          </w:p>
          <w:p w:rsidR="006C146B" w:rsidRDefault="006C146B" w:rsidP="00F176CD"/>
          <w:p w:rsidR="006C146B" w:rsidRPr="003D4211" w:rsidRDefault="00371659"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371659"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371659"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371659"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Pr="00CB432A" w:rsidRDefault="00807BA2" w:rsidP="00547EEA">
      <w:pPr>
        <w:jc w:val="center"/>
      </w:pPr>
    </w:p>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w:t>
      </w:r>
      <w:proofErr w:type="gramStart"/>
      <w:r w:rsidRPr="00CB432A">
        <w:t>обязательны к исполнению</w:t>
      </w:r>
      <w:proofErr w:type="gramEnd"/>
      <w:r w:rsidRPr="00CB432A">
        <w:t>.</w:t>
      </w:r>
      <w:bookmarkStart w:id="0" w:name="_GoBack"/>
      <w:bookmarkEnd w:id="0"/>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7"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xml:space="preserve">.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w:t>
      </w:r>
      <w:proofErr w:type="gramStart"/>
      <w:r w:rsidRPr="00F12BC1">
        <w:t>подписания Протокола подведения итогов запроса предложений</w:t>
      </w:r>
      <w:proofErr w:type="gramEnd"/>
      <w:r w:rsidRPr="00F12BC1">
        <w:t>.</w:t>
      </w:r>
    </w:p>
    <w:p w:rsidR="00BC77D8" w:rsidRPr="00F12BC1" w:rsidRDefault="00BC77D8" w:rsidP="00BC77D8">
      <w:pPr>
        <w:ind w:firstLine="420"/>
        <w:jc w:val="both"/>
      </w:pPr>
      <w:r>
        <w:t>7</w:t>
      </w:r>
      <w:r w:rsidRPr="00F12BC1">
        <w:t xml:space="preserve">. </w:t>
      </w:r>
      <w:proofErr w:type="gramStart"/>
      <w:r w:rsidRPr="00F12BC1">
        <w:t>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roofErr w:type="gramEnd"/>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6.1.1.2.1. В случае</w:t>
      </w:r>
      <w:proofErr w:type="gramStart"/>
      <w:r w:rsidRPr="00322BEB">
        <w:rPr>
          <w:bCs/>
        </w:rPr>
        <w:t>,</w:t>
      </w:r>
      <w:proofErr w:type="gramEnd"/>
      <w:r w:rsidRPr="00322BEB">
        <w:rPr>
          <w:bCs/>
        </w:rPr>
        <w:t xml:space="preserve">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xml:space="preserve">№ </w:t>
            </w:r>
            <w:proofErr w:type="gramStart"/>
            <w:r w:rsidRPr="00C6100A">
              <w:rPr>
                <w:b w:val="0"/>
              </w:rPr>
              <w:t>п</w:t>
            </w:r>
            <w:proofErr w:type="gramEnd"/>
            <w:r w:rsidRPr="00C6100A">
              <w:rPr>
                <w:b w:val="0"/>
              </w:rPr>
              <w:t>/п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 xml:space="preserve">2 не проведение </w:t>
      </w:r>
      <w:proofErr w:type="gramStart"/>
      <w:r w:rsidRPr="00B510B6">
        <w:t>ликвидаци</w:t>
      </w:r>
      <w:r>
        <w:t xml:space="preserve">и Участника Запроса предложений </w:t>
      </w:r>
      <w:r w:rsidRPr="00B510B6">
        <w:t>юридического лица</w:t>
      </w:r>
      <w:proofErr w:type="gramEnd"/>
      <w:r w:rsidRPr="00B510B6">
        <w:t xml:space="preserve">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xml:space="preserve">№ </w:t>
            </w:r>
            <w:proofErr w:type="gramStart"/>
            <w:r w:rsidRPr="00B510B6">
              <w:t>п</w:t>
            </w:r>
            <w:proofErr w:type="gramEnd"/>
            <w:r w:rsidRPr="00B510B6">
              <w:t>/п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w:t>
            </w:r>
            <w:proofErr w:type="gramStart"/>
            <w:r w:rsidRPr="00B510B6">
              <w:t>/Н</w:t>
            </w:r>
            <w:proofErr w:type="gramEnd"/>
            <w:r w:rsidRPr="00B510B6">
              <w:t>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xml:space="preserve">№ </w:t>
            </w:r>
            <w:proofErr w:type="gramStart"/>
            <w:r w:rsidRPr="00194D62">
              <w:rPr>
                <w:b w:val="0"/>
              </w:rPr>
              <w:t>п</w:t>
            </w:r>
            <w:proofErr w:type="gramEnd"/>
            <w:r w:rsidRPr="00194D62">
              <w:rPr>
                <w:b w:val="0"/>
              </w:rPr>
              <w:t>/п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 xml:space="preserve">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CB432A">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BC77D8" w:rsidRPr="00CB432A" w:rsidRDefault="00BC77D8" w:rsidP="00BC77D8">
      <w:pPr>
        <w:pStyle w:val="43"/>
      </w:pPr>
      <w:r w:rsidRPr="00CB432A">
        <w:t>6.5.2.3</w:t>
      </w:r>
      <w:proofErr w:type="gramStart"/>
      <w:r w:rsidRPr="00CB432A">
        <w:t xml:space="preserve"> В</w:t>
      </w:r>
      <w:proofErr w:type="gramEnd"/>
      <w:r w:rsidRPr="00CB432A">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w:t>
      </w:r>
      <w:proofErr w:type="gramStart"/>
      <w:r w:rsidRPr="00CB432A">
        <w:t xml:space="preserve"> Д</w:t>
      </w:r>
      <w:proofErr w:type="gramEnd"/>
      <w:r w:rsidRPr="00CB432A">
        <w:t>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proofErr w:type="gramStart"/>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BC77D8" w:rsidRPr="00CB432A" w:rsidRDefault="00BC77D8" w:rsidP="00BC77D8">
      <w:pPr>
        <w:pStyle w:val="43"/>
      </w:pPr>
      <w:proofErr w:type="gramStart"/>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proofErr w:type="gramStart"/>
      <w:r>
        <w:rPr>
          <w:b/>
        </w:rPr>
        <w:t>привлекаемых</w:t>
      </w:r>
      <w:proofErr w:type="gramEnd"/>
      <w:r>
        <w:rPr>
          <w:b/>
        </w:rPr>
        <w:t xml:space="preserve">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proofErr w:type="gramStart"/>
            <w:r w:rsidRPr="00C4482E">
              <w:rPr>
                <w:b w:val="0"/>
              </w:rPr>
              <w:t>п</w:t>
            </w:r>
            <w:proofErr w:type="gramEnd"/>
            <w:r w:rsidRPr="00C4482E">
              <w:rPr>
                <w:b w:val="0"/>
              </w:rPr>
              <w:t>/п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w:t>
      </w:r>
      <w:proofErr w:type="gramStart"/>
      <w:r w:rsidRPr="00B510B6">
        <w:t xml:space="preserve"> В</w:t>
      </w:r>
      <w:proofErr w:type="gramEnd"/>
      <w:r w:rsidRPr="00B510B6">
        <w:t xml:space="preserve">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xml:space="preserve">№ </w:t>
            </w:r>
            <w:proofErr w:type="gramStart"/>
            <w:r w:rsidRPr="00E24CDF">
              <w:rPr>
                <w:b w:val="0"/>
              </w:rPr>
              <w:t>п</w:t>
            </w:r>
            <w:proofErr w:type="gramEnd"/>
            <w:r w:rsidRPr="00E24CDF">
              <w:rPr>
                <w:b w:val="0"/>
              </w:rPr>
              <w:t>/п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 xml:space="preserve">Принадлежность (собственность, </w:t>
            </w:r>
            <w:proofErr w:type="gramStart"/>
            <w:r w:rsidRPr="00E24CDF">
              <w:rPr>
                <w:b w:val="0"/>
              </w:rPr>
              <w:t>арендованный</w:t>
            </w:r>
            <w:proofErr w:type="gramEnd"/>
            <w:r w:rsidRPr="00E24CDF">
              <w:rPr>
                <w:b w:val="0"/>
              </w:rPr>
              <w:t>)</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w:t>
      </w:r>
      <w:proofErr w:type="gramStart"/>
      <w:r w:rsidRPr="00B510B6">
        <w:t xml:space="preserve"> В</w:t>
      </w:r>
      <w:proofErr w:type="gramEnd"/>
      <w:r w:rsidRPr="00B510B6">
        <w:t xml:space="preserve">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 xml:space="preserve">за </w:t>
      </w:r>
      <w:proofErr w:type="gramStart"/>
      <w:r>
        <w:rPr>
          <w:bCs/>
        </w:rPr>
        <w:t>по</w:t>
      </w:r>
      <w:r w:rsidR="00304D06">
        <w:rPr>
          <w:bCs/>
        </w:rPr>
        <w:t>следние</w:t>
      </w:r>
      <w:proofErr w:type="gramEnd"/>
      <w:r w:rsidR="00304D06">
        <w:rPr>
          <w:bCs/>
        </w:rPr>
        <w:t xml:space="preserve"> 2 года, то в Справке указывается фраза: «За </w:t>
      </w:r>
      <w:proofErr w:type="gramStart"/>
      <w:r w:rsidR="00304D06">
        <w:rPr>
          <w:bCs/>
        </w:rPr>
        <w:t>последние</w:t>
      </w:r>
      <w:proofErr w:type="gramEnd"/>
      <w:r w:rsidR="00304D06">
        <w:rPr>
          <w:bCs/>
        </w:rPr>
        <w:t xml:space="preserve">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proofErr w:type="gramStart"/>
            <w:r w:rsidRPr="00B510B6">
              <w:t>п</w:t>
            </w:r>
            <w:proofErr w:type="gramEnd"/>
            <w:r w:rsidRPr="00B510B6">
              <w:t>/п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proofErr w:type="gramStart"/>
      <w:r w:rsidRPr="00B510B6">
        <w:t>проживающий</w:t>
      </w:r>
      <w:proofErr w:type="gramEnd"/>
      <w:r w:rsidRPr="00B510B6">
        <w:t xml:space="preserve">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59" w:rsidRDefault="00371659">
      <w:r>
        <w:separator/>
      </w:r>
    </w:p>
    <w:p w:rsidR="00371659" w:rsidRDefault="00371659"/>
  </w:endnote>
  <w:endnote w:type="continuationSeparator" w:id="0">
    <w:p w:rsidR="00371659" w:rsidRDefault="00371659">
      <w:r>
        <w:continuationSeparator/>
      </w:r>
    </w:p>
    <w:p w:rsidR="00371659" w:rsidRDefault="00371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B4" w:rsidRDefault="00CD7AB4" w:rsidP="00311D38">
    <w:pPr>
      <w:pStyle w:val="ae"/>
      <w:jc w:val="right"/>
    </w:pPr>
    <w:r>
      <w:t>______________________</w:t>
    </w:r>
  </w:p>
  <w:p w:rsidR="00CD7AB4" w:rsidRPr="00311D38" w:rsidRDefault="00CD7AB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C0EAF">
      <w:rPr>
        <w:noProof/>
      </w:rPr>
      <w:t>22</w:t>
    </w:r>
    <w:r w:rsidRPr="00311D38">
      <w:fldChar w:fldCharType="end"/>
    </w:r>
    <w:r w:rsidRPr="00311D38">
      <w:t xml:space="preserve"> из </w:t>
    </w:r>
    <w:r w:rsidR="00371659">
      <w:fldChar w:fldCharType="begin"/>
    </w:r>
    <w:r w:rsidR="00371659">
      <w:instrText xml:space="preserve"> NUMPAGES </w:instrText>
    </w:r>
    <w:r w:rsidR="00371659">
      <w:fldChar w:fldCharType="separate"/>
    </w:r>
    <w:r w:rsidR="00CC0EAF">
      <w:rPr>
        <w:noProof/>
      </w:rPr>
      <w:t>47</w:t>
    </w:r>
    <w:r w:rsidR="003716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59" w:rsidRDefault="00371659">
      <w:r>
        <w:separator/>
      </w:r>
    </w:p>
    <w:p w:rsidR="00371659" w:rsidRDefault="00371659"/>
  </w:footnote>
  <w:footnote w:type="continuationSeparator" w:id="0">
    <w:p w:rsidR="00371659" w:rsidRDefault="00371659">
      <w:r>
        <w:continuationSeparator/>
      </w:r>
    </w:p>
    <w:p w:rsidR="00371659" w:rsidRDefault="003716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43D00"/>
    <w:rsid w:val="000504E8"/>
    <w:rsid w:val="00051281"/>
    <w:rsid w:val="000513CB"/>
    <w:rsid w:val="00057CF3"/>
    <w:rsid w:val="00070DB8"/>
    <w:rsid w:val="000727D9"/>
    <w:rsid w:val="00083749"/>
    <w:rsid w:val="00087D8F"/>
    <w:rsid w:val="0009490B"/>
    <w:rsid w:val="000A0E0C"/>
    <w:rsid w:val="000A7DB2"/>
    <w:rsid w:val="000B298C"/>
    <w:rsid w:val="000C725E"/>
    <w:rsid w:val="000D1137"/>
    <w:rsid w:val="000D38EB"/>
    <w:rsid w:val="000D62F7"/>
    <w:rsid w:val="000E331F"/>
    <w:rsid w:val="000E7042"/>
    <w:rsid w:val="000F0168"/>
    <w:rsid w:val="000F0A61"/>
    <w:rsid w:val="00100649"/>
    <w:rsid w:val="001060A6"/>
    <w:rsid w:val="00110F20"/>
    <w:rsid w:val="001148A4"/>
    <w:rsid w:val="00123F82"/>
    <w:rsid w:val="00127D5E"/>
    <w:rsid w:val="001301B6"/>
    <w:rsid w:val="00130FAB"/>
    <w:rsid w:val="001350D6"/>
    <w:rsid w:val="001366E8"/>
    <w:rsid w:val="0013770A"/>
    <w:rsid w:val="00140152"/>
    <w:rsid w:val="001408E1"/>
    <w:rsid w:val="00146FE2"/>
    <w:rsid w:val="00155935"/>
    <w:rsid w:val="00167943"/>
    <w:rsid w:val="00173126"/>
    <w:rsid w:val="00185F91"/>
    <w:rsid w:val="00186B56"/>
    <w:rsid w:val="001875E7"/>
    <w:rsid w:val="001909F9"/>
    <w:rsid w:val="001941A4"/>
    <w:rsid w:val="001A02A7"/>
    <w:rsid w:val="001A0D12"/>
    <w:rsid w:val="001A2288"/>
    <w:rsid w:val="001A465A"/>
    <w:rsid w:val="001A59BD"/>
    <w:rsid w:val="001A7599"/>
    <w:rsid w:val="001B04F5"/>
    <w:rsid w:val="001B076E"/>
    <w:rsid w:val="001B2C2C"/>
    <w:rsid w:val="001B43EA"/>
    <w:rsid w:val="001B7B6F"/>
    <w:rsid w:val="001C1C63"/>
    <w:rsid w:val="001C3721"/>
    <w:rsid w:val="001C4E4A"/>
    <w:rsid w:val="001C7CEB"/>
    <w:rsid w:val="001D4F02"/>
    <w:rsid w:val="001E66D9"/>
    <w:rsid w:val="001F001A"/>
    <w:rsid w:val="001F5196"/>
    <w:rsid w:val="001F625B"/>
    <w:rsid w:val="00202845"/>
    <w:rsid w:val="00210853"/>
    <w:rsid w:val="00211AC5"/>
    <w:rsid w:val="0021299D"/>
    <w:rsid w:val="00214FCE"/>
    <w:rsid w:val="00217DB7"/>
    <w:rsid w:val="00230171"/>
    <w:rsid w:val="002318CC"/>
    <w:rsid w:val="00252A97"/>
    <w:rsid w:val="002548E8"/>
    <w:rsid w:val="0026536C"/>
    <w:rsid w:val="0027375E"/>
    <w:rsid w:val="00277694"/>
    <w:rsid w:val="00277813"/>
    <w:rsid w:val="002807E8"/>
    <w:rsid w:val="0028283A"/>
    <w:rsid w:val="00285BF6"/>
    <w:rsid w:val="00285E82"/>
    <w:rsid w:val="002972D5"/>
    <w:rsid w:val="002A1573"/>
    <w:rsid w:val="002A6447"/>
    <w:rsid w:val="002A7187"/>
    <w:rsid w:val="002B5595"/>
    <w:rsid w:val="002C50BD"/>
    <w:rsid w:val="002C5C24"/>
    <w:rsid w:val="002C6B8A"/>
    <w:rsid w:val="002D1F1E"/>
    <w:rsid w:val="002D28AC"/>
    <w:rsid w:val="002D2C42"/>
    <w:rsid w:val="002D46FE"/>
    <w:rsid w:val="002D6391"/>
    <w:rsid w:val="002E09F2"/>
    <w:rsid w:val="002E1761"/>
    <w:rsid w:val="002E2DA5"/>
    <w:rsid w:val="002F5B19"/>
    <w:rsid w:val="00300CD8"/>
    <w:rsid w:val="00303A45"/>
    <w:rsid w:val="00304D06"/>
    <w:rsid w:val="003079B3"/>
    <w:rsid w:val="00311D38"/>
    <w:rsid w:val="00312E33"/>
    <w:rsid w:val="003163F5"/>
    <w:rsid w:val="0031776C"/>
    <w:rsid w:val="003423E8"/>
    <w:rsid w:val="00342A62"/>
    <w:rsid w:val="00343CB3"/>
    <w:rsid w:val="003450C1"/>
    <w:rsid w:val="003601F8"/>
    <w:rsid w:val="00362F32"/>
    <w:rsid w:val="003633B9"/>
    <w:rsid w:val="00363730"/>
    <w:rsid w:val="00367BBA"/>
    <w:rsid w:val="00371659"/>
    <w:rsid w:val="00372448"/>
    <w:rsid w:val="003874A6"/>
    <w:rsid w:val="00391486"/>
    <w:rsid w:val="00396488"/>
    <w:rsid w:val="00396508"/>
    <w:rsid w:val="003A0C07"/>
    <w:rsid w:val="003A1C89"/>
    <w:rsid w:val="003A2401"/>
    <w:rsid w:val="003A38D5"/>
    <w:rsid w:val="003A4BD5"/>
    <w:rsid w:val="003A5F12"/>
    <w:rsid w:val="003A7703"/>
    <w:rsid w:val="003B76CB"/>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20B73"/>
    <w:rsid w:val="0042567F"/>
    <w:rsid w:val="00426260"/>
    <w:rsid w:val="00427926"/>
    <w:rsid w:val="004534B0"/>
    <w:rsid w:val="00456346"/>
    <w:rsid w:val="0045661D"/>
    <w:rsid w:val="00461F66"/>
    <w:rsid w:val="00467FBE"/>
    <w:rsid w:val="00470DD1"/>
    <w:rsid w:val="00474179"/>
    <w:rsid w:val="004769FB"/>
    <w:rsid w:val="004773E5"/>
    <w:rsid w:val="00477C79"/>
    <w:rsid w:val="0048119F"/>
    <w:rsid w:val="00491E05"/>
    <w:rsid w:val="004A3D1B"/>
    <w:rsid w:val="004A65E8"/>
    <w:rsid w:val="004B2AD7"/>
    <w:rsid w:val="004B6571"/>
    <w:rsid w:val="004C321F"/>
    <w:rsid w:val="004C75F4"/>
    <w:rsid w:val="004D0E17"/>
    <w:rsid w:val="004D5DA3"/>
    <w:rsid w:val="004D6BB8"/>
    <w:rsid w:val="004F21E5"/>
    <w:rsid w:val="004F51C2"/>
    <w:rsid w:val="004F5E40"/>
    <w:rsid w:val="004F6694"/>
    <w:rsid w:val="00501460"/>
    <w:rsid w:val="0050361A"/>
    <w:rsid w:val="00504529"/>
    <w:rsid w:val="00511D86"/>
    <w:rsid w:val="00527089"/>
    <w:rsid w:val="00527119"/>
    <w:rsid w:val="00530AEB"/>
    <w:rsid w:val="005312A0"/>
    <w:rsid w:val="005354F4"/>
    <w:rsid w:val="005424EE"/>
    <w:rsid w:val="00543994"/>
    <w:rsid w:val="00547EEA"/>
    <w:rsid w:val="005551D1"/>
    <w:rsid w:val="00561997"/>
    <w:rsid w:val="00572C73"/>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42494"/>
    <w:rsid w:val="007434F8"/>
    <w:rsid w:val="007525B7"/>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4550"/>
    <w:rsid w:val="007B4896"/>
    <w:rsid w:val="007B70D9"/>
    <w:rsid w:val="007C06D0"/>
    <w:rsid w:val="007C144E"/>
    <w:rsid w:val="007C20F9"/>
    <w:rsid w:val="007D4AE9"/>
    <w:rsid w:val="007D5404"/>
    <w:rsid w:val="007D6CB2"/>
    <w:rsid w:val="007D7421"/>
    <w:rsid w:val="007E2C43"/>
    <w:rsid w:val="007E6F5A"/>
    <w:rsid w:val="007E7BA2"/>
    <w:rsid w:val="007F1208"/>
    <w:rsid w:val="007F3648"/>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74CC"/>
    <w:rsid w:val="008A0E85"/>
    <w:rsid w:val="008A42D6"/>
    <w:rsid w:val="008A5DA8"/>
    <w:rsid w:val="008B1DF9"/>
    <w:rsid w:val="008B316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4385"/>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1339F"/>
    <w:rsid w:val="00A24B3C"/>
    <w:rsid w:val="00A24E6C"/>
    <w:rsid w:val="00A2635E"/>
    <w:rsid w:val="00A311EC"/>
    <w:rsid w:val="00A3186E"/>
    <w:rsid w:val="00A355A4"/>
    <w:rsid w:val="00A3693C"/>
    <w:rsid w:val="00A372F4"/>
    <w:rsid w:val="00A44E84"/>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60D1"/>
    <w:rsid w:val="00B903C2"/>
    <w:rsid w:val="00B90C0C"/>
    <w:rsid w:val="00B924D4"/>
    <w:rsid w:val="00BA6290"/>
    <w:rsid w:val="00BA629D"/>
    <w:rsid w:val="00BA723E"/>
    <w:rsid w:val="00BC0A52"/>
    <w:rsid w:val="00BC53BF"/>
    <w:rsid w:val="00BC6DBA"/>
    <w:rsid w:val="00BC6E7F"/>
    <w:rsid w:val="00BC77D8"/>
    <w:rsid w:val="00BD13A5"/>
    <w:rsid w:val="00BD1AEB"/>
    <w:rsid w:val="00BD22CD"/>
    <w:rsid w:val="00BD427B"/>
    <w:rsid w:val="00BD5AF8"/>
    <w:rsid w:val="00BE2D49"/>
    <w:rsid w:val="00BE69B7"/>
    <w:rsid w:val="00BF1857"/>
    <w:rsid w:val="00BF2A91"/>
    <w:rsid w:val="00C02EE8"/>
    <w:rsid w:val="00C059BF"/>
    <w:rsid w:val="00C0660C"/>
    <w:rsid w:val="00C0711E"/>
    <w:rsid w:val="00C11671"/>
    <w:rsid w:val="00C178C3"/>
    <w:rsid w:val="00C27563"/>
    <w:rsid w:val="00C32B27"/>
    <w:rsid w:val="00C339DB"/>
    <w:rsid w:val="00C35CF7"/>
    <w:rsid w:val="00C36F33"/>
    <w:rsid w:val="00C376DF"/>
    <w:rsid w:val="00C37A5F"/>
    <w:rsid w:val="00C43168"/>
    <w:rsid w:val="00C5302D"/>
    <w:rsid w:val="00C6100A"/>
    <w:rsid w:val="00C66286"/>
    <w:rsid w:val="00C66CCE"/>
    <w:rsid w:val="00C7006D"/>
    <w:rsid w:val="00C72176"/>
    <w:rsid w:val="00C7372D"/>
    <w:rsid w:val="00C8345E"/>
    <w:rsid w:val="00C840CD"/>
    <w:rsid w:val="00C84A37"/>
    <w:rsid w:val="00C87672"/>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7C4"/>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74FA"/>
    <w:rsid w:val="00E61E2B"/>
    <w:rsid w:val="00E62FF8"/>
    <w:rsid w:val="00E65105"/>
    <w:rsid w:val="00E6754D"/>
    <w:rsid w:val="00E714B4"/>
    <w:rsid w:val="00E96409"/>
    <w:rsid w:val="00E9767B"/>
    <w:rsid w:val="00EA196F"/>
    <w:rsid w:val="00EA61C9"/>
    <w:rsid w:val="00EA70E2"/>
    <w:rsid w:val="00EB7E51"/>
    <w:rsid w:val="00EC0F49"/>
    <w:rsid w:val="00EC38EC"/>
    <w:rsid w:val="00EC40AF"/>
    <w:rsid w:val="00ED1DF9"/>
    <w:rsid w:val="00ED44F4"/>
    <w:rsid w:val="00EE1819"/>
    <w:rsid w:val="00EE3F27"/>
    <w:rsid w:val="00EE45CD"/>
    <w:rsid w:val="00EE7FE9"/>
    <w:rsid w:val="00EF14A7"/>
    <w:rsid w:val="00F0126D"/>
    <w:rsid w:val="00F015D0"/>
    <w:rsid w:val="00F04E93"/>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71F0F"/>
    <w:rsid w:val="00F75AE2"/>
    <w:rsid w:val="00FA3ECD"/>
    <w:rsid w:val="00FB0F3C"/>
    <w:rsid w:val="00FB4F39"/>
    <w:rsid w:val="00FC1A38"/>
    <w:rsid w:val="00FC2231"/>
    <w:rsid w:val="00FC28CB"/>
    <w:rsid w:val="00FC335D"/>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58D713-7C05-44AB-808E-CA537A9E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47</Pages>
  <Words>13158</Words>
  <Characters>75007</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87990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Инна Мякиева</cp:lastModifiedBy>
  <cp:revision>20</cp:revision>
  <cp:lastPrinted>2015-02-02T13:06:00Z</cp:lastPrinted>
  <dcterms:created xsi:type="dcterms:W3CDTF">2015-02-02T07:36:00Z</dcterms:created>
  <dcterms:modified xsi:type="dcterms:W3CDTF">2015-02-02T13:06:00Z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