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1EA02403" w:rsidR="00357682" w:rsidRPr="00DB11E7" w:rsidRDefault="00504457" w:rsidP="00357682">
      <w:pPr>
        <w:pStyle w:val="afff7"/>
        <w:jc w:val="right"/>
        <w:rPr>
          <w:b w:val="0"/>
          <w:sz w:val="22"/>
          <w:szCs w:val="24"/>
          <w:lang w:eastAsia="en-US"/>
        </w:rPr>
      </w:pPr>
      <w:r w:rsidRPr="00740C30">
        <w:rPr>
          <w:b w:val="0"/>
          <w:sz w:val="22"/>
          <w:szCs w:val="24"/>
          <w:lang w:eastAsia="en-US"/>
        </w:rPr>
        <w:t xml:space="preserve">14 </w:t>
      </w:r>
      <w:r>
        <w:rPr>
          <w:b w:val="0"/>
          <w:sz w:val="22"/>
          <w:szCs w:val="24"/>
          <w:lang w:eastAsia="en-US"/>
        </w:rPr>
        <w:t>марта</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78C09C24" w14:textId="0EE0CB4B" w:rsidR="00A551ED" w:rsidRDefault="00504457" w:rsidP="00566934">
      <w:pPr>
        <w:jc w:val="center"/>
      </w:pPr>
      <w:r w:rsidRPr="00504457">
        <w:rPr>
          <w:sz w:val="28"/>
          <w:szCs w:val="28"/>
        </w:rPr>
        <w:t>«Удаление ДКР на трассе магистрального газопровода Острогожск-Лебединский ГОК и обработка химическими реагентами площадок крановых узлов».</w:t>
      </w: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374AB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374AB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374AB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374AB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374AB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374AB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374AB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374AB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374AB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374AB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374AB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374AB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374AB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374AB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5C16D552" w:rsidR="00FC3C80" w:rsidRPr="001361BE" w:rsidRDefault="00504457" w:rsidP="00F13067">
      <w:pPr>
        <w:jc w:val="both"/>
      </w:pPr>
      <w:r w:rsidRPr="00504457">
        <w:t>«Удаление ДКР на трассе магистрального газопровода Острогожск-Лебединский ГОК и обработка химическими реагентами площа</w:t>
      </w:r>
      <w:r>
        <w:t>док крановых узлов»</w:t>
      </w:r>
      <w:r w:rsidR="002E6F70">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67AEE9E" w14:textId="06D67315" w:rsidR="000A74B2" w:rsidRDefault="00504457" w:rsidP="00F13067">
            <w:pPr>
              <w:pStyle w:val="34"/>
              <w:tabs>
                <w:tab w:val="clear" w:pos="227"/>
              </w:tabs>
              <w:spacing w:before="0" w:after="60"/>
              <w:rPr>
                <w:sz w:val="22"/>
                <w:szCs w:val="22"/>
              </w:rPr>
            </w:pPr>
            <w:r w:rsidRPr="00504457">
              <w:rPr>
                <w:sz w:val="22"/>
                <w:szCs w:val="22"/>
              </w:rPr>
              <w:t>«Удаление ДКР на трассе магистрального газопровода Острогожск-Лебединский ГОК и обработка химическими реагентами площадок крановых узлов».</w:t>
            </w:r>
          </w:p>
          <w:p w14:paraId="337CF4A8" w14:textId="5DEE9FF2"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37EDB94B" w:rsidR="002B60AF" w:rsidRPr="003815E9" w:rsidRDefault="00504457" w:rsidP="00BB54E3">
            <w:pPr>
              <w:jc w:val="both"/>
            </w:pPr>
            <w:r w:rsidRPr="00504457">
              <w:t>«Удаление ДКР на трассе магистрального газопровода Острогожск-Лебединский ГОК и обработка химическими реаг</w:t>
            </w:r>
            <w:r>
              <w:t>ентами площадок крановых узлов»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10063C17" w:rsidR="002B60AF" w:rsidRPr="00E236F5" w:rsidRDefault="00EB7B7E" w:rsidP="0050445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504457">
              <w:rPr>
                <w:sz w:val="24"/>
                <w:szCs w:val="24"/>
              </w:rPr>
              <w:t>14 марта</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2862617" w14:textId="6BD13D47" w:rsidR="00504457" w:rsidRPr="00504457" w:rsidRDefault="00504457" w:rsidP="00504457">
            <w:pPr>
              <w:pStyle w:val="Default"/>
              <w:jc w:val="both"/>
              <w:rPr>
                <w:bCs/>
              </w:rPr>
            </w:pPr>
            <w:r w:rsidRPr="00504457">
              <w:rPr>
                <w:bCs/>
              </w:rPr>
              <w:t xml:space="preserve">     -  Для участников, не освобожденных от уплаты НДС – 8100177,72 рублей (Восемь миллионов сто тысяч сто семьдесят семь рублей 72 копейки), с учетом НДС 20 % - 1350029,62 рублей (Один миллион триста пятьдесят тысяч двадцать девять рублей 62 копейки).   </w:t>
            </w:r>
          </w:p>
          <w:p w14:paraId="4D9D3F8B" w14:textId="6F6FF52D" w:rsidR="00D034BC" w:rsidRPr="00510FBA" w:rsidRDefault="00504457" w:rsidP="00504457">
            <w:pPr>
              <w:pStyle w:val="Default"/>
              <w:jc w:val="both"/>
              <w:rPr>
                <w:bCs/>
              </w:rPr>
            </w:pPr>
            <w:r w:rsidRPr="00504457">
              <w:rPr>
                <w:bCs/>
              </w:rPr>
              <w:t xml:space="preserve">    -    Для участников, освобожденных от уплаты НДС </w:t>
            </w:r>
            <w:r w:rsidRPr="00504457">
              <w:rPr>
                <w:bCs/>
              </w:rPr>
              <w:lastRenderedPageBreak/>
              <w:t>(без НДС) – 6750148,10 рублей (Шесть миллионов семьсот пятьдесят тысяч сто сорок восемь рублей 10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6F47739" w:rsidR="002B60AF" w:rsidRPr="00E236F5" w:rsidRDefault="00A03C33" w:rsidP="0050445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504457">
              <w:rPr>
                <w:sz w:val="24"/>
                <w:szCs w:val="24"/>
              </w:rPr>
              <w:t>405008,88</w:t>
            </w:r>
            <w:r w:rsidR="00E645ED">
              <w:rPr>
                <w:sz w:val="24"/>
                <w:szCs w:val="24"/>
              </w:rPr>
              <w:t xml:space="preserve"> </w:t>
            </w:r>
            <w:r w:rsidR="00452C23" w:rsidRPr="00AD36E4">
              <w:rPr>
                <w:sz w:val="24"/>
                <w:szCs w:val="24"/>
              </w:rPr>
              <w:t>рубл</w:t>
            </w:r>
            <w:r w:rsidR="002E6F70">
              <w:rPr>
                <w:sz w:val="24"/>
                <w:szCs w:val="24"/>
              </w:rPr>
              <w:t>ей</w:t>
            </w:r>
            <w:r w:rsidR="00357682">
              <w:rPr>
                <w:sz w:val="24"/>
                <w:szCs w:val="24"/>
              </w:rPr>
              <w:t xml:space="preserve"> </w:t>
            </w:r>
            <w:r w:rsidR="00FC4869">
              <w:rPr>
                <w:sz w:val="24"/>
                <w:szCs w:val="24"/>
              </w:rPr>
              <w:t>(</w:t>
            </w:r>
            <w:r w:rsidR="00504457">
              <w:rPr>
                <w:sz w:val="24"/>
                <w:szCs w:val="24"/>
              </w:rPr>
              <w:t>Четыреста пять тысяч восемь рублей 88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74240D74" w:rsidR="002B60AF" w:rsidRPr="00F46947" w:rsidRDefault="00504457" w:rsidP="00566934">
            <w:pPr>
              <w:pStyle w:val="afff5"/>
              <w:rPr>
                <w:sz w:val="24"/>
                <w:szCs w:val="24"/>
              </w:rPr>
            </w:pPr>
            <w:r>
              <w:rPr>
                <w:sz w:val="24"/>
                <w:szCs w:val="24"/>
              </w:rPr>
              <w:t>14 марта</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39A0A521" w:rsidR="002B60AF" w:rsidRPr="00F46947" w:rsidRDefault="00504457" w:rsidP="00F841EF">
            <w:pPr>
              <w:pStyle w:val="afff5"/>
              <w:rPr>
                <w:sz w:val="24"/>
                <w:szCs w:val="24"/>
              </w:rPr>
            </w:pPr>
            <w:r>
              <w:rPr>
                <w:sz w:val="24"/>
                <w:szCs w:val="24"/>
              </w:rPr>
              <w:t>24 марта</w:t>
            </w:r>
            <w:r w:rsidR="00575F4B" w:rsidRPr="00575F4B">
              <w:rPr>
                <w:sz w:val="24"/>
                <w:szCs w:val="24"/>
              </w:rPr>
              <w:t xml:space="preserve">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053824ED" w:rsidR="002B60AF" w:rsidRPr="00F46947" w:rsidRDefault="00504457" w:rsidP="000A74B2">
            <w:pPr>
              <w:pStyle w:val="afff5"/>
              <w:rPr>
                <w:sz w:val="24"/>
                <w:szCs w:val="24"/>
              </w:rPr>
            </w:pPr>
            <w:r>
              <w:rPr>
                <w:sz w:val="24"/>
                <w:szCs w:val="24"/>
              </w:rPr>
              <w:t>24 марта</w:t>
            </w:r>
            <w:r w:rsidRPr="00575F4B">
              <w:rPr>
                <w:sz w:val="24"/>
                <w:szCs w:val="24"/>
              </w:rPr>
              <w:t xml:space="preserve"> </w:t>
            </w:r>
            <w:r w:rsidR="002D7BFF">
              <w:rPr>
                <w:sz w:val="24"/>
                <w:szCs w:val="24"/>
              </w:rPr>
              <w:t>2022</w:t>
            </w:r>
            <w:r w:rsidR="00F87B55" w:rsidRPr="00F46947">
              <w:rPr>
                <w:sz w:val="24"/>
                <w:szCs w:val="24"/>
              </w:rPr>
              <w:t xml:space="preserve"> г. 1</w:t>
            </w:r>
            <w:r w:rsidR="000A74B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6D7BFA64" w:rsidR="00506D8E" w:rsidRPr="00F46947" w:rsidRDefault="00504457" w:rsidP="00FD445A">
            <w:pPr>
              <w:pStyle w:val="afff5"/>
              <w:rPr>
                <w:sz w:val="24"/>
                <w:szCs w:val="24"/>
              </w:rPr>
            </w:pPr>
            <w:r>
              <w:rPr>
                <w:sz w:val="24"/>
                <w:szCs w:val="24"/>
              </w:rPr>
              <w:t>2</w:t>
            </w:r>
            <w:r w:rsidR="00FD445A">
              <w:rPr>
                <w:sz w:val="24"/>
                <w:szCs w:val="24"/>
              </w:rPr>
              <w:t>5</w:t>
            </w:r>
            <w:bookmarkStart w:id="2" w:name="_GoBack"/>
            <w:bookmarkEnd w:id="2"/>
            <w:r>
              <w:rPr>
                <w:sz w:val="24"/>
                <w:szCs w:val="24"/>
              </w:rPr>
              <w:t xml:space="preserve"> марта</w:t>
            </w:r>
            <w:r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513B7E7" w:rsidR="002B60AF" w:rsidRPr="00E236F5" w:rsidRDefault="003258E0" w:rsidP="00504457">
            <w:pPr>
              <w:pStyle w:val="afff5"/>
              <w:rPr>
                <w:sz w:val="24"/>
                <w:szCs w:val="24"/>
              </w:rPr>
            </w:pPr>
            <w:r>
              <w:rPr>
                <w:sz w:val="24"/>
                <w:szCs w:val="24"/>
              </w:rPr>
              <w:t xml:space="preserve">Не </w:t>
            </w:r>
            <w:r w:rsidR="002618FF">
              <w:rPr>
                <w:sz w:val="24"/>
                <w:szCs w:val="24"/>
              </w:rPr>
              <w:t xml:space="preserve">позднее </w:t>
            </w:r>
            <w:r w:rsidR="00504457">
              <w:rPr>
                <w:sz w:val="24"/>
                <w:szCs w:val="24"/>
              </w:rPr>
              <w:t>31</w:t>
            </w:r>
            <w:r w:rsidR="002E6F70">
              <w:rPr>
                <w:sz w:val="24"/>
                <w:szCs w:val="24"/>
              </w:rPr>
              <w:t xml:space="preserve"> марта</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lastRenderedPageBreak/>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374AB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374AB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374AB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374AB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374AB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374AB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374AB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374AB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374AB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3368" w14:textId="77777777" w:rsidR="00374AB9" w:rsidRDefault="00374AB9">
      <w:r>
        <w:separator/>
      </w:r>
    </w:p>
    <w:p w14:paraId="1F04E0F8" w14:textId="77777777" w:rsidR="00374AB9" w:rsidRDefault="00374AB9"/>
  </w:endnote>
  <w:endnote w:type="continuationSeparator" w:id="0">
    <w:p w14:paraId="78F1084F" w14:textId="77777777" w:rsidR="00374AB9" w:rsidRDefault="00374AB9">
      <w:r>
        <w:continuationSeparator/>
      </w:r>
    </w:p>
    <w:p w14:paraId="51D8BA1B" w14:textId="77777777" w:rsidR="00374AB9" w:rsidRDefault="00374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2CDFC27A"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D445A">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D445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A405" w14:textId="77777777" w:rsidR="00374AB9" w:rsidRDefault="00374AB9">
      <w:r>
        <w:separator/>
      </w:r>
    </w:p>
    <w:p w14:paraId="214D3BF8" w14:textId="77777777" w:rsidR="00374AB9" w:rsidRDefault="00374AB9"/>
  </w:footnote>
  <w:footnote w:type="continuationSeparator" w:id="0">
    <w:p w14:paraId="15092EA4" w14:textId="77777777" w:rsidR="00374AB9" w:rsidRDefault="00374AB9">
      <w:r>
        <w:continuationSeparator/>
      </w:r>
    </w:p>
    <w:p w14:paraId="1C4F0A65" w14:textId="77777777" w:rsidR="00374AB9" w:rsidRDefault="00374AB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4AB9"/>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0C30"/>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445A"/>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AA587D-19A3-4D5D-BA4C-D671C01E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48</Pages>
  <Words>14384</Words>
  <Characters>81991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96183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363</cp:revision>
  <cp:lastPrinted>2018-12-28T13:05:00Z</cp:lastPrinted>
  <dcterms:created xsi:type="dcterms:W3CDTF">2019-08-06T11:39:00Z</dcterms:created>
  <dcterms:modified xsi:type="dcterms:W3CDTF">2022-03-14T14:21:00Z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