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77777777" w:rsidR="007A15F3" w:rsidRPr="007A15F3" w:rsidRDefault="007A15F3" w:rsidP="007A15F3">
      <w:pPr>
        <w:tabs>
          <w:tab w:val="center" w:pos="4677"/>
          <w:tab w:val="right" w:pos="9355"/>
        </w:tabs>
        <w:spacing w:line="276" w:lineRule="auto"/>
        <w:ind w:right="-143"/>
        <w:jc w:val="right"/>
        <w:rPr>
          <w:bCs/>
          <w:szCs w:val="22"/>
          <w:lang w:eastAsia="en-US"/>
        </w:rPr>
      </w:pPr>
      <w:r w:rsidRPr="007A15F3">
        <w:rPr>
          <w:bCs/>
          <w:szCs w:val="22"/>
          <w:lang w:eastAsia="en-US"/>
        </w:rPr>
        <w:t xml:space="preserve">Генеральный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25E4BB74" w:rsidR="007A15F3" w:rsidRPr="007A15F3" w:rsidRDefault="007A15F3" w:rsidP="007A15F3">
      <w:pPr>
        <w:widowControl w:val="0"/>
        <w:suppressAutoHyphens/>
        <w:spacing w:before="240" w:after="240"/>
        <w:jc w:val="right"/>
        <w:rPr>
          <w:b/>
          <w:szCs w:val="20"/>
          <w:lang w:eastAsia="en-US"/>
        </w:rPr>
      </w:pPr>
      <w:r w:rsidRPr="007A15F3">
        <w:rPr>
          <w:bCs/>
          <w:szCs w:val="20"/>
          <w:lang w:eastAsia="en-US"/>
        </w:rPr>
        <w:t>А.А. Ахметов</w:t>
      </w:r>
      <w:r w:rsidRPr="007A15F3">
        <w:rPr>
          <w:b/>
          <w:szCs w:val="20"/>
          <w:lang w:eastAsia="en-US"/>
        </w:rPr>
        <w:t xml:space="preserve"> </w:t>
      </w:r>
    </w:p>
    <w:p w14:paraId="5DED965D" w14:textId="0E3B8BC8" w:rsidR="00357682" w:rsidRPr="00DB11E7" w:rsidRDefault="00E93520" w:rsidP="00357682">
      <w:pPr>
        <w:pStyle w:val="afff7"/>
        <w:jc w:val="right"/>
        <w:rPr>
          <w:b w:val="0"/>
          <w:sz w:val="22"/>
          <w:szCs w:val="24"/>
          <w:lang w:eastAsia="en-US"/>
        </w:rPr>
      </w:pPr>
      <w:r>
        <w:rPr>
          <w:b w:val="0"/>
          <w:sz w:val="22"/>
          <w:szCs w:val="24"/>
          <w:lang w:eastAsia="en-US"/>
        </w:rPr>
        <w:t>0</w:t>
      </w:r>
      <w:r w:rsidR="00183251">
        <w:rPr>
          <w:b w:val="0"/>
          <w:sz w:val="22"/>
          <w:szCs w:val="24"/>
          <w:lang w:eastAsia="en-US"/>
        </w:rPr>
        <w:t>9</w:t>
      </w:r>
      <w:r>
        <w:rPr>
          <w:b w:val="0"/>
          <w:sz w:val="22"/>
          <w:szCs w:val="24"/>
          <w:lang w:eastAsia="en-US"/>
        </w:rPr>
        <w:t xml:space="preserve"> ноября</w:t>
      </w:r>
      <w:r w:rsidR="000F75F8">
        <w:rPr>
          <w:b w:val="0"/>
          <w:sz w:val="22"/>
          <w:szCs w:val="24"/>
          <w:lang w:eastAsia="en-US"/>
        </w:rPr>
        <w:t xml:space="preserve"> </w:t>
      </w:r>
      <w:r w:rsidR="00357682">
        <w:rPr>
          <w:b w:val="0"/>
          <w:sz w:val="22"/>
          <w:szCs w:val="24"/>
          <w:lang w:eastAsia="en-US"/>
        </w:rPr>
        <w:t xml:space="preserve">2020 </w:t>
      </w:r>
      <w:r w:rsidR="00357682" w:rsidRPr="00222173">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E47A60A" w:rsidR="00E97EE5" w:rsidRDefault="00E97EE5" w:rsidP="007F0B6E">
      <w:pPr>
        <w:jc w:val="center"/>
        <w:rPr>
          <w:sz w:val="28"/>
          <w:szCs w:val="28"/>
        </w:rPr>
      </w:pPr>
    </w:p>
    <w:p w14:paraId="3DB98BC0" w14:textId="77777777" w:rsidR="00C41CE5" w:rsidRDefault="00C41CE5" w:rsidP="007D0826">
      <w:pPr>
        <w:jc w:val="center"/>
        <w:rPr>
          <w:sz w:val="28"/>
          <w:szCs w:val="28"/>
        </w:rPr>
      </w:pPr>
    </w:p>
    <w:p w14:paraId="42F0E490" w14:textId="7BE950FF" w:rsidR="001C3023" w:rsidRDefault="00183251" w:rsidP="00183251">
      <w:pPr>
        <w:jc w:val="center"/>
      </w:pPr>
      <w:r w:rsidRPr="00183251">
        <w:rPr>
          <w:sz w:val="28"/>
          <w:szCs w:val="28"/>
        </w:rPr>
        <w:t>«Обустройство переездов через газопровод для газоснабжения Южноуральской ГРЭС-2 на участке между оврагом и ручьем»</w:t>
      </w:r>
    </w:p>
    <w:p w14:paraId="2E7D4154" w14:textId="77777777" w:rsidR="001C3023" w:rsidRDefault="001C3023" w:rsidP="001C3023"/>
    <w:p w14:paraId="16400544" w14:textId="77777777" w:rsidR="006A3A7C" w:rsidRDefault="006A3A7C" w:rsidP="00566934">
      <w:pPr>
        <w:jc w:val="center"/>
      </w:pPr>
    </w:p>
    <w:p w14:paraId="3116BBB3" w14:textId="77777777" w:rsidR="006A3A7C" w:rsidRDefault="006A3A7C" w:rsidP="00566934">
      <w:pPr>
        <w:jc w:val="center"/>
      </w:pPr>
    </w:p>
    <w:p w14:paraId="502B8C21" w14:textId="77777777" w:rsidR="008E60DB" w:rsidRDefault="008E60DB" w:rsidP="00566934">
      <w:pPr>
        <w:jc w:val="center"/>
      </w:pPr>
    </w:p>
    <w:p w14:paraId="4C68BB4B" w14:textId="77777777" w:rsidR="002576D8" w:rsidRDefault="002576D8" w:rsidP="00566934">
      <w:pPr>
        <w:jc w:val="center"/>
      </w:pPr>
    </w:p>
    <w:p w14:paraId="68E60FD3" w14:textId="77777777" w:rsidR="002576D8" w:rsidRDefault="002576D8" w:rsidP="00566934">
      <w:pPr>
        <w:jc w:val="center"/>
      </w:pPr>
    </w:p>
    <w:p w14:paraId="7D1957EE" w14:textId="0DDCA796" w:rsidR="002576D8" w:rsidRDefault="002576D8" w:rsidP="00566934">
      <w:pPr>
        <w:jc w:val="center"/>
      </w:pPr>
    </w:p>
    <w:p w14:paraId="6515E5B4" w14:textId="49D6D8C3" w:rsidR="00C41CE5" w:rsidRDefault="00C41CE5" w:rsidP="00566934">
      <w:pPr>
        <w:jc w:val="center"/>
      </w:pPr>
    </w:p>
    <w:p w14:paraId="52468C8D" w14:textId="778AE3A6" w:rsidR="000423AB" w:rsidRDefault="000423AB" w:rsidP="00566934">
      <w:pPr>
        <w:jc w:val="center"/>
      </w:pPr>
    </w:p>
    <w:p w14:paraId="264C3CC2" w14:textId="77777777" w:rsidR="000423AB" w:rsidRDefault="000423AB" w:rsidP="00566934">
      <w:pPr>
        <w:jc w:val="center"/>
      </w:pPr>
    </w:p>
    <w:p w14:paraId="5FDE52B8" w14:textId="624EEE29" w:rsidR="00C41CE5" w:rsidRDefault="00C41CE5" w:rsidP="00566934">
      <w:pPr>
        <w:jc w:val="center"/>
      </w:pPr>
    </w:p>
    <w:p w14:paraId="091390D6" w14:textId="03617890" w:rsidR="00C41CE5" w:rsidRDefault="00C41CE5" w:rsidP="00566934">
      <w:pPr>
        <w:jc w:val="center"/>
      </w:pPr>
    </w:p>
    <w:p w14:paraId="4D5ACCC2" w14:textId="2F6DFAE8" w:rsidR="00946DB1" w:rsidRDefault="00946DB1" w:rsidP="00566934">
      <w:pPr>
        <w:jc w:val="center"/>
      </w:pPr>
    </w:p>
    <w:p w14:paraId="293F5440" w14:textId="7D8FD70A" w:rsidR="00946DB1" w:rsidRDefault="00946DB1" w:rsidP="00566934">
      <w:pPr>
        <w:jc w:val="center"/>
      </w:pPr>
    </w:p>
    <w:p w14:paraId="123998E4" w14:textId="46AB18DA" w:rsidR="00946DB1" w:rsidRDefault="00946DB1" w:rsidP="00566934">
      <w:pPr>
        <w:jc w:val="center"/>
      </w:pPr>
    </w:p>
    <w:p w14:paraId="2CE53B9D" w14:textId="712CB665" w:rsidR="00946DB1" w:rsidRDefault="00946DB1" w:rsidP="00566934">
      <w:pPr>
        <w:jc w:val="center"/>
      </w:pPr>
    </w:p>
    <w:p w14:paraId="5B5E4204" w14:textId="4A178113" w:rsidR="00946DB1" w:rsidRDefault="00946DB1" w:rsidP="00566934">
      <w:pPr>
        <w:jc w:val="center"/>
      </w:pPr>
    </w:p>
    <w:p w14:paraId="6E407876" w14:textId="06AC1B0B" w:rsidR="00946DB1" w:rsidRDefault="00946DB1"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77777777" w:rsidR="00807BA2" w:rsidRPr="00E236F5" w:rsidRDefault="00C23B60" w:rsidP="00566934">
      <w:pPr>
        <w:jc w:val="center"/>
      </w:pPr>
      <w:r>
        <w:t>2020</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8227EF"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8227EF"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8227EF"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8227EF"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8227EF"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8227EF"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8227EF"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8227EF"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8227EF"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8227EF"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8227EF"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8227EF"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8227EF"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8227EF"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8227EF"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8227EF"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8227EF"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8227EF"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8227EF"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8227EF"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8227EF"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8227EF"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8227EF"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8227EF"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8227EF"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8227EF"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8227EF"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8227EF"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8227EF"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8227EF"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8227EF"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8227EF"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8227EF"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8227EF"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8227EF"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8227EF"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8227EF"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8227EF"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8227EF"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8227EF"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8227EF"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8227EF"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8227EF"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8227EF"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8227EF"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8227EF"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8227EF"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8227EF"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8227EF"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8227EF"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8227EF"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8227EF"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8227EF"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8227EF"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8227EF"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8227EF"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8227EF"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8227EF"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8227EF"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8227EF"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8227EF"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8227EF"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8227EF"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8227EF"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5F7C0AF6" w14:textId="76A4F5B1"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r w:rsidR="00183251" w:rsidRPr="00183251">
        <w:t>«Обустройство переездов через газопровод для газоснабжения Южноуральской ГРЭС-2 на участке между оврагом и ручьем»</w:t>
      </w:r>
      <w:r w:rsidR="000C78B5">
        <w:rPr>
          <w:b/>
          <w:bCs/>
        </w:rPr>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2279BE0E" w14:textId="6BF66A88" w:rsidR="00E374FF" w:rsidRPr="004E2E46" w:rsidRDefault="00343CB3" w:rsidP="001C2DC4">
            <w:pPr>
              <w:pStyle w:val="34"/>
              <w:tabs>
                <w:tab w:val="clear" w:pos="227"/>
              </w:tabs>
              <w:spacing w:before="0" w:after="60"/>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r w:rsidR="00183251" w:rsidRPr="00183251">
              <w:rPr>
                <w:sz w:val="22"/>
                <w:szCs w:val="22"/>
              </w:rPr>
              <w:t>«Обустройство переездов через газопровод для газоснабжения Южноуральской ГРЭС-2 на участке между оврагом и ручьем»</w:t>
            </w:r>
            <w:r w:rsidR="000C78B5" w:rsidRPr="004E2E46">
              <w:rPr>
                <w:sz w:val="22"/>
                <w:szCs w:val="22"/>
              </w:rPr>
              <w:t>.</w:t>
            </w:r>
          </w:p>
          <w:p w14:paraId="337CF4A8" w14:textId="77777777" w:rsidR="00343CB3" w:rsidRPr="006B31BE" w:rsidRDefault="00343CB3" w:rsidP="001C2DC4">
            <w:pPr>
              <w:pStyle w:val="34"/>
              <w:tabs>
                <w:tab w:val="clear" w:pos="227"/>
              </w:tabs>
              <w:spacing w:before="0" w:after="60"/>
              <w:rPr>
                <w:sz w:val="22"/>
                <w:szCs w:val="22"/>
              </w:rPr>
            </w:pPr>
            <w:r w:rsidRPr="00E236F5">
              <w:rPr>
                <w:szCs w:val="24"/>
              </w:rPr>
              <w:t>НЕ ВСКРЫВАТЬ ДО ___________(время местное)___.____.</w:t>
            </w:r>
            <w:r w:rsidR="00C23B60">
              <w:rPr>
                <w:szCs w:val="24"/>
              </w:rPr>
              <w:t>2020</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04CA0D08" w:rsidR="002B60AF" w:rsidRPr="003815E9" w:rsidRDefault="00183251" w:rsidP="00357682">
            <w:r w:rsidRPr="00183251">
              <w:t>«Обустройство переездов через газопровод для газоснабжения Южноуральской ГРЭС-2 на участке между оврагом и ручьем»</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28AFE98A" w:rsidR="002B60AF" w:rsidRPr="00E236F5" w:rsidRDefault="00EB7B7E" w:rsidP="006A0142">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r w:rsidR="00357682" w:rsidRPr="003E74E8">
                <w:rPr>
                  <w:rStyle w:val="a7"/>
                  <w:sz w:val="24"/>
                  <w:szCs w:val="24"/>
                  <w:lang w:val="en-US"/>
                </w:rPr>
                <w:t>sitek</w:t>
              </w:r>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r w:rsidR="00357682" w:rsidRPr="003E74E8">
                <w:rPr>
                  <w:rStyle w:val="a7"/>
                  <w:sz w:val="24"/>
                  <w:szCs w:val="24"/>
                  <w:lang w:val="en-US"/>
                </w:rPr>
                <w:t>ru</w:t>
              </w:r>
            </w:hyperlink>
            <w:r w:rsidR="00357682">
              <w:rPr>
                <w:sz w:val="24"/>
                <w:szCs w:val="24"/>
              </w:rPr>
              <w:t xml:space="preserve"> </w:t>
            </w:r>
            <w:r w:rsidR="00946DB1">
              <w:rPr>
                <w:sz w:val="24"/>
                <w:szCs w:val="24"/>
              </w:rPr>
              <w:t>0</w:t>
            </w:r>
            <w:r w:rsidR="006A0142">
              <w:rPr>
                <w:sz w:val="24"/>
                <w:szCs w:val="24"/>
              </w:rPr>
              <w:t>9</w:t>
            </w:r>
            <w:r w:rsidR="00946DB1">
              <w:rPr>
                <w:sz w:val="24"/>
                <w:szCs w:val="24"/>
              </w:rPr>
              <w:t xml:space="preserve"> ноября</w:t>
            </w:r>
            <w:r w:rsidR="00095B3C">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070E54A5" w14:textId="77777777" w:rsidR="00183251" w:rsidRPr="00183251" w:rsidRDefault="00183251" w:rsidP="00183251">
            <w:pPr>
              <w:pStyle w:val="Default"/>
              <w:rPr>
                <w:bCs/>
              </w:rPr>
            </w:pPr>
            <w:r w:rsidRPr="00183251">
              <w:rPr>
                <w:bCs/>
              </w:rPr>
              <w:t>-</w:t>
            </w:r>
            <w:r w:rsidRPr="00183251">
              <w:rPr>
                <w:bCs/>
              </w:rPr>
              <w:tab/>
              <w:t>Для участников, не освобожденных от уплаты НДС – 11587249,19 рублей (Одиннадцать миллионов пятьсот восемьдесят семь тысяч двести сорок девять рублей 19 копеек), в т.ч. НДС 20 % 1931208,20 рублей (Один миллион девятьсот тридцать одна тысяча двести восемь рублей 20 копеек).</w:t>
            </w:r>
          </w:p>
          <w:p w14:paraId="4D9D3F8B" w14:textId="4BD1E940" w:rsidR="00D034BC" w:rsidRPr="00357682" w:rsidRDefault="00183251" w:rsidP="00183251">
            <w:pPr>
              <w:pStyle w:val="Default"/>
              <w:tabs>
                <w:tab w:val="left" w:pos="-3261"/>
                <w:tab w:val="left" w:pos="-1276"/>
              </w:tabs>
              <w:jc w:val="both"/>
              <w:rPr>
                <w:rFonts w:eastAsia="Times New Roman"/>
                <w:color w:val="auto"/>
                <w:lang w:eastAsia="ru-RU"/>
              </w:rPr>
            </w:pPr>
            <w:r w:rsidRPr="00183251">
              <w:rPr>
                <w:bCs/>
              </w:rPr>
              <w:lastRenderedPageBreak/>
              <w:t>-</w:t>
            </w:r>
            <w:r w:rsidRPr="00183251">
              <w:rPr>
                <w:bCs/>
              </w:rPr>
              <w:tab/>
              <w:t>Для участников, освобожденных от уплаты НДС (без НДС) – 9656040,99 рублей (Девять миллионов шестьсот пятьдесят шесть тысяч сорок рублей 99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55624472" w:rsidR="002B60AF" w:rsidRPr="00E236F5" w:rsidRDefault="00A03C33" w:rsidP="00183251">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183251">
              <w:rPr>
                <w:sz w:val="24"/>
                <w:szCs w:val="24"/>
              </w:rPr>
              <w:t>579362,45</w:t>
            </w:r>
            <w:r w:rsidR="0014562E">
              <w:rPr>
                <w:sz w:val="24"/>
                <w:szCs w:val="24"/>
              </w:rPr>
              <w:t xml:space="preserve"> </w:t>
            </w:r>
            <w:r w:rsidR="00452C23" w:rsidRPr="00AD36E4">
              <w:rPr>
                <w:sz w:val="24"/>
                <w:szCs w:val="24"/>
              </w:rPr>
              <w:t>рубл</w:t>
            </w:r>
            <w:r w:rsidR="00183251">
              <w:rPr>
                <w:sz w:val="24"/>
                <w:szCs w:val="24"/>
              </w:rPr>
              <w:t>я</w:t>
            </w:r>
            <w:r w:rsidR="00357682">
              <w:rPr>
                <w:sz w:val="24"/>
                <w:szCs w:val="24"/>
              </w:rPr>
              <w:t xml:space="preserve"> </w:t>
            </w:r>
            <w:r w:rsidR="00FC4869">
              <w:rPr>
                <w:sz w:val="24"/>
                <w:szCs w:val="24"/>
              </w:rPr>
              <w:t>(</w:t>
            </w:r>
            <w:r w:rsidR="00946DB1">
              <w:rPr>
                <w:sz w:val="24"/>
                <w:szCs w:val="24"/>
              </w:rPr>
              <w:t xml:space="preserve">Пятьсот </w:t>
            </w:r>
            <w:r w:rsidR="00183251">
              <w:rPr>
                <w:sz w:val="24"/>
                <w:szCs w:val="24"/>
              </w:rPr>
              <w:t>семьдесят девять тысяч триста шестьдесят два рубля 45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7E36D7AF" w14:textId="2175A50E" w:rsidR="002B60AF" w:rsidRPr="00E236F5" w:rsidRDefault="00946DB1" w:rsidP="00566934">
            <w:pPr>
              <w:pStyle w:val="afff5"/>
              <w:rPr>
                <w:sz w:val="24"/>
                <w:szCs w:val="24"/>
              </w:rPr>
            </w:pPr>
            <w:r>
              <w:rPr>
                <w:sz w:val="24"/>
                <w:szCs w:val="24"/>
              </w:rPr>
              <w:t>0</w:t>
            </w:r>
            <w:r w:rsidR="00183251">
              <w:rPr>
                <w:sz w:val="24"/>
                <w:szCs w:val="24"/>
              </w:rPr>
              <w:t>9</w:t>
            </w:r>
            <w:r>
              <w:rPr>
                <w:sz w:val="24"/>
                <w:szCs w:val="24"/>
              </w:rPr>
              <w:t xml:space="preserve"> ноября</w:t>
            </w:r>
            <w:r w:rsidR="00357682">
              <w:rPr>
                <w:sz w:val="24"/>
                <w:szCs w:val="24"/>
              </w:rPr>
              <w:t xml:space="preserve"> </w:t>
            </w:r>
            <w:r w:rsidR="00C23B60">
              <w:rPr>
                <w:sz w:val="24"/>
                <w:szCs w:val="24"/>
              </w:rPr>
              <w:t>2020</w:t>
            </w:r>
            <w:r w:rsidR="002B60AF" w:rsidRPr="00E236F5">
              <w:rPr>
                <w:sz w:val="24"/>
                <w:szCs w:val="24"/>
              </w:rPr>
              <w:t xml:space="preserve"> г.</w:t>
            </w:r>
          </w:p>
          <w:p w14:paraId="18FD4891" w14:textId="7777777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4E13829D" w:rsidR="002B60AF" w:rsidRPr="00E236F5" w:rsidRDefault="00946DB1" w:rsidP="00183251">
            <w:pPr>
              <w:pStyle w:val="afff5"/>
              <w:rPr>
                <w:sz w:val="24"/>
                <w:szCs w:val="24"/>
              </w:rPr>
            </w:pPr>
            <w:r>
              <w:rPr>
                <w:sz w:val="24"/>
                <w:szCs w:val="24"/>
              </w:rPr>
              <w:t>1</w:t>
            </w:r>
            <w:r w:rsidR="00183251">
              <w:rPr>
                <w:sz w:val="24"/>
                <w:szCs w:val="24"/>
              </w:rPr>
              <w:t>9</w:t>
            </w:r>
            <w:r w:rsidR="00E250E8">
              <w:rPr>
                <w:sz w:val="24"/>
                <w:szCs w:val="24"/>
              </w:rPr>
              <w:t xml:space="preserve"> ноября</w:t>
            </w:r>
            <w:r w:rsidR="00F87B55" w:rsidRPr="00F87B55">
              <w:rPr>
                <w:sz w:val="24"/>
                <w:szCs w:val="24"/>
              </w:rPr>
              <w:t xml:space="preserve">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1C3023">
              <w:rPr>
                <w:sz w:val="24"/>
                <w:szCs w:val="24"/>
              </w:rPr>
              <w:t>1</w:t>
            </w:r>
            <w:r w:rsidR="002B60AF" w:rsidRPr="00E236F5">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26ADB0B3" w:rsidR="002B60AF" w:rsidRPr="00E236F5" w:rsidRDefault="00946DB1" w:rsidP="00183251">
            <w:pPr>
              <w:pStyle w:val="afff5"/>
              <w:rPr>
                <w:sz w:val="24"/>
                <w:szCs w:val="24"/>
              </w:rPr>
            </w:pPr>
            <w:r>
              <w:rPr>
                <w:sz w:val="24"/>
                <w:szCs w:val="24"/>
              </w:rPr>
              <w:t>1</w:t>
            </w:r>
            <w:r w:rsidR="00183251">
              <w:rPr>
                <w:sz w:val="24"/>
                <w:szCs w:val="24"/>
              </w:rPr>
              <w:t>9</w:t>
            </w:r>
            <w:r w:rsidR="00E250E8">
              <w:rPr>
                <w:sz w:val="24"/>
                <w:szCs w:val="24"/>
              </w:rPr>
              <w:t xml:space="preserve"> ноября</w:t>
            </w:r>
            <w:r w:rsidR="00E250E8" w:rsidRPr="00F87B55">
              <w:rPr>
                <w:sz w:val="24"/>
                <w:szCs w:val="24"/>
              </w:rPr>
              <w:t xml:space="preserve"> </w:t>
            </w:r>
            <w:r w:rsidR="00F87B55" w:rsidRPr="00F87B55">
              <w:rPr>
                <w:sz w:val="24"/>
                <w:szCs w:val="24"/>
              </w:rPr>
              <w:t>2020 г. 1</w:t>
            </w:r>
            <w:r w:rsidR="007D0826">
              <w:rPr>
                <w:sz w:val="24"/>
                <w:szCs w:val="24"/>
              </w:rPr>
              <w:t>2</w:t>
            </w:r>
            <w:r w:rsidR="00F87B55" w:rsidRPr="00F87B55">
              <w:rPr>
                <w:sz w:val="24"/>
                <w:szCs w:val="24"/>
              </w:rPr>
              <w:t>:00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E1BED92" w14:textId="40956E39" w:rsidR="00506D8E" w:rsidRPr="00E236F5" w:rsidRDefault="00946DB1" w:rsidP="00183251">
            <w:pPr>
              <w:pStyle w:val="afff5"/>
              <w:rPr>
                <w:sz w:val="24"/>
                <w:szCs w:val="24"/>
              </w:rPr>
            </w:pPr>
            <w:r>
              <w:rPr>
                <w:sz w:val="24"/>
                <w:szCs w:val="24"/>
              </w:rPr>
              <w:t>1</w:t>
            </w:r>
            <w:r w:rsidR="00183251">
              <w:rPr>
                <w:sz w:val="24"/>
                <w:szCs w:val="24"/>
              </w:rPr>
              <w:t>9</w:t>
            </w:r>
            <w:r w:rsidR="00E250E8">
              <w:rPr>
                <w:sz w:val="24"/>
                <w:szCs w:val="24"/>
              </w:rPr>
              <w:t xml:space="preserve"> ноября</w:t>
            </w:r>
            <w:r w:rsidR="00E250E8" w:rsidRPr="00F87B55">
              <w:rPr>
                <w:sz w:val="24"/>
                <w:szCs w:val="24"/>
              </w:rPr>
              <w:t xml:space="preserve"> </w:t>
            </w:r>
            <w:r w:rsidR="00F87B55" w:rsidRPr="00F87B55">
              <w:rPr>
                <w:sz w:val="24"/>
                <w:szCs w:val="24"/>
              </w:rPr>
              <w:t>2020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3A35585C" w:rsidR="002B60AF" w:rsidRPr="00E236F5" w:rsidRDefault="003258E0" w:rsidP="007D46B6">
            <w:pPr>
              <w:pStyle w:val="afff5"/>
              <w:rPr>
                <w:sz w:val="24"/>
                <w:szCs w:val="24"/>
              </w:rPr>
            </w:pPr>
            <w:r>
              <w:rPr>
                <w:sz w:val="24"/>
                <w:szCs w:val="24"/>
              </w:rPr>
              <w:t xml:space="preserve">Не позднее </w:t>
            </w:r>
            <w:r w:rsidR="00946DB1">
              <w:rPr>
                <w:sz w:val="24"/>
                <w:szCs w:val="24"/>
              </w:rPr>
              <w:t>2</w:t>
            </w:r>
            <w:r w:rsidR="007D46B6">
              <w:rPr>
                <w:sz w:val="24"/>
                <w:szCs w:val="24"/>
              </w:rPr>
              <w:t>6</w:t>
            </w:r>
            <w:r w:rsidR="00E250E8">
              <w:rPr>
                <w:sz w:val="24"/>
                <w:szCs w:val="24"/>
              </w:rPr>
              <w:t xml:space="preserve"> ноября</w:t>
            </w:r>
            <w:r w:rsidR="00E250E8" w:rsidRPr="00F87B55">
              <w:rPr>
                <w:sz w:val="24"/>
                <w:szCs w:val="24"/>
              </w:rPr>
              <w:t xml:space="preserve"> </w:t>
            </w:r>
            <w:r w:rsidR="00F87B55" w:rsidRPr="00F87B55">
              <w:rPr>
                <w:sz w:val="24"/>
                <w:szCs w:val="24"/>
              </w:rPr>
              <w:t>2020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w:t>
            </w:r>
            <w:r w:rsidRPr="00E236F5">
              <w:rPr>
                <w:sz w:val="24"/>
                <w:szCs w:val="24"/>
              </w:rPr>
              <w:lastRenderedPageBreak/>
              <w:t>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2F1F72A0" w:rsidR="00186BA4" w:rsidRPr="00E236F5" w:rsidRDefault="00186BA4" w:rsidP="007D46B6">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7D46B6">
              <w:rPr>
                <w:sz w:val="24"/>
                <w:szCs w:val="24"/>
              </w:rPr>
              <w:t>15</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946DB1">
              <w:rPr>
                <w:sz w:val="24"/>
                <w:szCs w:val="24"/>
              </w:rPr>
              <w:t>2</w:t>
            </w:r>
            <w:r w:rsidR="007D46B6">
              <w:rPr>
                <w:sz w:val="24"/>
                <w:szCs w:val="24"/>
              </w:rPr>
              <w:t>0</w:t>
            </w:r>
            <w:r w:rsidR="00402ACF" w:rsidRPr="000F2587">
              <w:rPr>
                <w:sz w:val="24"/>
                <w:szCs w:val="24"/>
              </w:rPr>
              <w:t xml:space="preserve"> календарных дн</w:t>
            </w:r>
            <w:r w:rsidR="001A5AB4">
              <w:rPr>
                <w:sz w:val="24"/>
                <w:szCs w:val="24"/>
              </w:rPr>
              <w:t>я</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w:t>
            </w:r>
            <w:r w:rsidRPr="00E236F5">
              <w:rPr>
                <w:sz w:val="24"/>
                <w:szCs w:val="24"/>
              </w:rPr>
              <w:lastRenderedPageBreak/>
              <w:t xml:space="preserve">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lastRenderedPageBreak/>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lastRenderedPageBreak/>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8227EF"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8227E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8227E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8227E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8227E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8227EF"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8227EF"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8227EF"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8227E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77777777"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00823787" w14:textId="77777777"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1E98EB05" w14:textId="77777777" w:rsidR="004C350E" w:rsidRPr="00E236F5" w:rsidRDefault="004C350E" w:rsidP="00C047F6">
            <w:pPr>
              <w:pStyle w:val="aff9"/>
              <w:rPr>
                <w:b w:val="0"/>
              </w:rPr>
            </w:pPr>
            <w:r w:rsidRPr="00E236F5">
              <w:rPr>
                <w:b w:val="0"/>
              </w:rPr>
              <w:t>201</w:t>
            </w:r>
            <w:r w:rsidR="00C047F6">
              <w:rPr>
                <w:b w:val="0"/>
              </w:rPr>
              <w:t>9</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57C9D2E7" w:rsidR="004C350E" w:rsidRPr="00E236F5" w:rsidRDefault="004C350E" w:rsidP="00566934">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BBA2F" w14:textId="77777777" w:rsidR="000F2804" w:rsidRDefault="000F2804">
      <w:r>
        <w:separator/>
      </w:r>
    </w:p>
    <w:p w14:paraId="6E02641B" w14:textId="77777777" w:rsidR="000F2804" w:rsidRDefault="000F2804"/>
  </w:endnote>
  <w:endnote w:type="continuationSeparator" w:id="0">
    <w:p w14:paraId="331ADA1F" w14:textId="77777777" w:rsidR="000F2804" w:rsidRDefault="000F2804">
      <w:r>
        <w:continuationSeparator/>
      </w:r>
    </w:p>
    <w:p w14:paraId="282E9B39" w14:textId="77777777" w:rsidR="000F2804" w:rsidRDefault="000F2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B191" w14:textId="77777777" w:rsidR="00183251" w:rsidRDefault="00183251" w:rsidP="00311D38">
    <w:pPr>
      <w:pStyle w:val="ae"/>
      <w:jc w:val="right"/>
    </w:pPr>
    <w:r>
      <w:t>______________________</w:t>
    </w:r>
  </w:p>
  <w:p w14:paraId="79F6D5E6" w14:textId="59DBA2A5" w:rsidR="00183251" w:rsidRPr="00311D38" w:rsidRDefault="00183251"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6A0142">
      <w:rPr>
        <w:noProof/>
      </w:rPr>
      <w:t>25</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6A0142">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CAE32" w14:textId="77777777" w:rsidR="000F2804" w:rsidRDefault="000F2804">
      <w:r>
        <w:separator/>
      </w:r>
    </w:p>
    <w:p w14:paraId="7133A873" w14:textId="77777777" w:rsidR="000F2804" w:rsidRDefault="000F2804"/>
  </w:footnote>
  <w:footnote w:type="continuationSeparator" w:id="0">
    <w:p w14:paraId="4DFCCC23" w14:textId="77777777" w:rsidR="000F2804" w:rsidRDefault="000F2804">
      <w:r>
        <w:continuationSeparator/>
      </w:r>
    </w:p>
    <w:p w14:paraId="76304110" w14:textId="77777777" w:rsidR="000F2804" w:rsidRDefault="000F28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4DA"/>
    <w:rsid w:val="000237C4"/>
    <w:rsid w:val="000239E9"/>
    <w:rsid w:val="00024DDD"/>
    <w:rsid w:val="000263C7"/>
    <w:rsid w:val="000303A7"/>
    <w:rsid w:val="00030415"/>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5139"/>
    <w:rsid w:val="00065ABD"/>
    <w:rsid w:val="000661FD"/>
    <w:rsid w:val="00066658"/>
    <w:rsid w:val="000706E6"/>
    <w:rsid w:val="00070DB8"/>
    <w:rsid w:val="000727D9"/>
    <w:rsid w:val="00074C86"/>
    <w:rsid w:val="00075DFF"/>
    <w:rsid w:val="00077462"/>
    <w:rsid w:val="00080219"/>
    <w:rsid w:val="00080AA4"/>
    <w:rsid w:val="00082CD6"/>
    <w:rsid w:val="00083749"/>
    <w:rsid w:val="00083AAC"/>
    <w:rsid w:val="000878F1"/>
    <w:rsid w:val="00087D8F"/>
    <w:rsid w:val="00090314"/>
    <w:rsid w:val="00090BD5"/>
    <w:rsid w:val="0009490B"/>
    <w:rsid w:val="00094DCE"/>
    <w:rsid w:val="00095B3C"/>
    <w:rsid w:val="000A0E0C"/>
    <w:rsid w:val="000A6242"/>
    <w:rsid w:val="000A7DB2"/>
    <w:rsid w:val="000B130F"/>
    <w:rsid w:val="000B298C"/>
    <w:rsid w:val="000B45D3"/>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331F"/>
    <w:rsid w:val="000E426A"/>
    <w:rsid w:val="000E7042"/>
    <w:rsid w:val="000F0168"/>
    <w:rsid w:val="000F08FD"/>
    <w:rsid w:val="000F0A61"/>
    <w:rsid w:val="000F2587"/>
    <w:rsid w:val="000F2804"/>
    <w:rsid w:val="000F48BA"/>
    <w:rsid w:val="000F4C82"/>
    <w:rsid w:val="000F75F8"/>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62E"/>
    <w:rsid w:val="00145B10"/>
    <w:rsid w:val="00146645"/>
    <w:rsid w:val="00146FE2"/>
    <w:rsid w:val="00150594"/>
    <w:rsid w:val="00153048"/>
    <w:rsid w:val="0015550A"/>
    <w:rsid w:val="00155935"/>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51922"/>
    <w:rsid w:val="00251AB0"/>
    <w:rsid w:val="00252A97"/>
    <w:rsid w:val="002546C6"/>
    <w:rsid w:val="002548E8"/>
    <w:rsid w:val="0025631B"/>
    <w:rsid w:val="002564AE"/>
    <w:rsid w:val="002576D8"/>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34BD"/>
    <w:rsid w:val="00295FE3"/>
    <w:rsid w:val="002972D5"/>
    <w:rsid w:val="002A0A34"/>
    <w:rsid w:val="002A1573"/>
    <w:rsid w:val="002A4A5B"/>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2DD7"/>
    <w:rsid w:val="005A2E33"/>
    <w:rsid w:val="005A7708"/>
    <w:rsid w:val="005B007F"/>
    <w:rsid w:val="005B31A4"/>
    <w:rsid w:val="005B3A8F"/>
    <w:rsid w:val="005B5E11"/>
    <w:rsid w:val="005B6C61"/>
    <w:rsid w:val="005B7E00"/>
    <w:rsid w:val="005C4DA6"/>
    <w:rsid w:val="005C7F1A"/>
    <w:rsid w:val="005C7FD1"/>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142"/>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C146B"/>
    <w:rsid w:val="006C1DEC"/>
    <w:rsid w:val="006C4BDC"/>
    <w:rsid w:val="006C4EA1"/>
    <w:rsid w:val="006C586F"/>
    <w:rsid w:val="006C5F6E"/>
    <w:rsid w:val="006C793C"/>
    <w:rsid w:val="006D121E"/>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27EF"/>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4459"/>
    <w:rsid w:val="00944592"/>
    <w:rsid w:val="00944932"/>
    <w:rsid w:val="00946DB1"/>
    <w:rsid w:val="0095191B"/>
    <w:rsid w:val="009525CB"/>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1CF7"/>
    <w:rsid w:val="009D2472"/>
    <w:rsid w:val="009D7046"/>
    <w:rsid w:val="009E137D"/>
    <w:rsid w:val="009E1981"/>
    <w:rsid w:val="009E1DD3"/>
    <w:rsid w:val="009E1E36"/>
    <w:rsid w:val="009E1E44"/>
    <w:rsid w:val="009E1F46"/>
    <w:rsid w:val="009E296C"/>
    <w:rsid w:val="009E3478"/>
    <w:rsid w:val="009E6518"/>
    <w:rsid w:val="009E66ED"/>
    <w:rsid w:val="009F0E1F"/>
    <w:rsid w:val="009F13D3"/>
    <w:rsid w:val="009F2537"/>
    <w:rsid w:val="009F6588"/>
    <w:rsid w:val="00A008D3"/>
    <w:rsid w:val="00A031BE"/>
    <w:rsid w:val="00A03409"/>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276B"/>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5E5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39AF"/>
    <w:rsid w:val="00B64C6C"/>
    <w:rsid w:val="00B66396"/>
    <w:rsid w:val="00B669D6"/>
    <w:rsid w:val="00B7422E"/>
    <w:rsid w:val="00B76A51"/>
    <w:rsid w:val="00B80E3F"/>
    <w:rsid w:val="00B8437B"/>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B27"/>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908"/>
    <w:rsid w:val="00F21EE0"/>
    <w:rsid w:val="00F24372"/>
    <w:rsid w:val="00F258A9"/>
    <w:rsid w:val="00F2590D"/>
    <w:rsid w:val="00F25E4F"/>
    <w:rsid w:val="00F32814"/>
    <w:rsid w:val="00F336A4"/>
    <w:rsid w:val="00F338C7"/>
    <w:rsid w:val="00F35003"/>
    <w:rsid w:val="00F402AA"/>
    <w:rsid w:val="00F40710"/>
    <w:rsid w:val="00F42F4B"/>
    <w:rsid w:val="00F436DA"/>
    <w:rsid w:val="00F460CF"/>
    <w:rsid w:val="00F4768B"/>
    <w:rsid w:val="00F50EE6"/>
    <w:rsid w:val="00F52570"/>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4869"/>
    <w:rsid w:val="00FC7F5F"/>
    <w:rsid w:val="00FD0551"/>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F4D197-4FE1-424C-B1B1-DB294DB5593D}">
  <ds:schemaRefs>
    <ds:schemaRef ds:uri="http://schemas.openxmlformats.org/officeDocument/2006/bibliography"/>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48</Pages>
  <Words>14378</Words>
  <Characters>81955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96141</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257</cp:revision>
  <cp:lastPrinted>2018-12-28T13:05:00Z</cp:lastPrinted>
  <dcterms:created xsi:type="dcterms:W3CDTF">2019-08-06T11:39:00Z</dcterms:created>
  <dcterms:modified xsi:type="dcterms:W3CDTF">2020-11-09T06:06:00Z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