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28003C9E" w:rsidR="00357682" w:rsidRPr="00DB11E7" w:rsidRDefault="000C78B5" w:rsidP="00357682">
      <w:pPr>
        <w:pStyle w:val="afff7"/>
        <w:jc w:val="right"/>
        <w:rPr>
          <w:b w:val="0"/>
          <w:sz w:val="22"/>
          <w:szCs w:val="24"/>
          <w:lang w:eastAsia="en-US"/>
        </w:rPr>
      </w:pPr>
      <w:r>
        <w:rPr>
          <w:b w:val="0"/>
          <w:sz w:val="22"/>
          <w:szCs w:val="24"/>
          <w:lang w:eastAsia="en-US"/>
        </w:rPr>
        <w:t>1</w:t>
      </w:r>
      <w:r w:rsidR="009D2472">
        <w:rPr>
          <w:b w:val="0"/>
          <w:sz w:val="22"/>
          <w:szCs w:val="24"/>
          <w:lang w:eastAsia="en-US"/>
        </w:rPr>
        <w:t>1</w:t>
      </w:r>
      <w:r w:rsidR="007A15F3">
        <w:rPr>
          <w:b w:val="0"/>
          <w:sz w:val="22"/>
          <w:szCs w:val="24"/>
          <w:lang w:eastAsia="en-US"/>
        </w:rPr>
        <w:t xml:space="preserve"> августа</w:t>
      </w:r>
      <w:r w:rsidR="002576D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6D9FB585" w14:textId="349509CA" w:rsidR="0000580E" w:rsidRDefault="000D6170" w:rsidP="00566934">
      <w:pPr>
        <w:jc w:val="center"/>
      </w:pPr>
      <w:r w:rsidRPr="000D6170">
        <w:rPr>
          <w:sz w:val="28"/>
          <w:szCs w:val="28"/>
        </w:rPr>
        <w:t>«</w:t>
      </w:r>
      <w:r w:rsidR="009D2472" w:rsidRPr="009D2472">
        <w:rPr>
          <w:sz w:val="28"/>
          <w:szCs w:val="28"/>
        </w:rPr>
        <w:t>Восстановительный ремонт с заменой основания площадки КУ №</w:t>
      </w:r>
      <w:r w:rsidR="00770FCB">
        <w:rPr>
          <w:sz w:val="28"/>
          <w:szCs w:val="28"/>
        </w:rPr>
        <w:t xml:space="preserve"> </w:t>
      </w:r>
      <w:r w:rsidR="009D2472" w:rsidRPr="009D2472">
        <w:rPr>
          <w:sz w:val="28"/>
          <w:szCs w:val="28"/>
        </w:rPr>
        <w:t>13-2 и благоустройством прилегающей территории магистрального газопровода-отвода к энергоблоку №</w:t>
      </w:r>
      <w:r w:rsidR="00770FCB">
        <w:rPr>
          <w:sz w:val="28"/>
          <w:szCs w:val="28"/>
        </w:rPr>
        <w:t xml:space="preserve"> </w:t>
      </w:r>
      <w:r w:rsidR="009D2472" w:rsidRPr="009D2472">
        <w:rPr>
          <w:sz w:val="28"/>
          <w:szCs w:val="28"/>
        </w:rPr>
        <w:t>2 Калининградской ТЭЦ-2</w:t>
      </w:r>
      <w:r w:rsidR="000C78B5" w:rsidRPr="000C78B5">
        <w:rPr>
          <w:sz w:val="28"/>
          <w:szCs w:val="28"/>
        </w:rPr>
        <w:t>».</w:t>
      </w: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77777777" w:rsidR="002576D8" w:rsidRDefault="002576D8"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770FCB"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770FCB"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770FCB"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770FCB"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770FCB"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770FCB"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770FCB"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770FCB"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770FCB"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770FCB"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770FCB"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770FCB"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770FCB"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770FCB"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770FCB"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770FCB"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770FCB"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770FCB"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770FCB"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770FCB"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770FCB"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770FCB"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770FC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770FC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770FCB"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770FCB"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770FCB"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770FCB"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770FCB"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proofErr w:type="spellStart"/>
      <w:r w:rsidRPr="00E236F5">
        <w:rPr>
          <w:b/>
        </w:rPr>
        <w:t>Уторговывание</w:t>
      </w:r>
      <w:proofErr w:type="spellEnd"/>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6865DBEA"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0D6170" w:rsidRPr="00770FCB">
        <w:t>«</w:t>
      </w:r>
      <w:r w:rsidR="006D121E" w:rsidRPr="00770FCB">
        <w:t>Восстановительный ремонт с заменой основания площадки КУ №</w:t>
      </w:r>
      <w:r w:rsidR="00770FCB">
        <w:t xml:space="preserve"> </w:t>
      </w:r>
      <w:r w:rsidR="006D121E" w:rsidRPr="00770FCB">
        <w:t>13-2 и благоустройством прилегающей территории магистрального газопровода-отвода к энергоблоку №</w:t>
      </w:r>
      <w:r w:rsidR="00770FCB">
        <w:t xml:space="preserve"> </w:t>
      </w:r>
      <w:r w:rsidR="006D121E" w:rsidRPr="00770FCB">
        <w:t>2 Калининградской ТЭЦ-2</w:t>
      </w:r>
      <w:r w:rsidR="000C78B5" w:rsidRPr="00770FCB">
        <w:t xml:space="preserve">» </w:t>
      </w:r>
      <w:r w:rsidR="009258D1" w:rsidRPr="00770FCB">
        <w:t>просим</w:t>
      </w:r>
      <w:r w:rsidR="009258D1" w:rsidRPr="003D1987">
        <w:t xml:space="preserve">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2C79F7A5" w:rsidR="00E374FF" w:rsidRPr="00770FCB"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70FCB">
              <w:rPr>
                <w:sz w:val="22"/>
                <w:szCs w:val="22"/>
              </w:rPr>
              <w:t>:</w:t>
            </w:r>
            <w:r w:rsidR="00357682" w:rsidRPr="00770FCB">
              <w:rPr>
                <w:sz w:val="22"/>
                <w:szCs w:val="22"/>
              </w:rPr>
              <w:t xml:space="preserve"> </w:t>
            </w:r>
            <w:r w:rsidR="000D6170" w:rsidRPr="00770FCB">
              <w:rPr>
                <w:sz w:val="22"/>
                <w:szCs w:val="22"/>
              </w:rPr>
              <w:t>«</w:t>
            </w:r>
            <w:r w:rsidR="00F66448" w:rsidRPr="00770FCB">
              <w:rPr>
                <w:sz w:val="22"/>
                <w:szCs w:val="22"/>
              </w:rPr>
              <w:t>Восстановительный ремонт с заменой основания площадки КУ №</w:t>
            </w:r>
            <w:r w:rsidR="00770FCB">
              <w:rPr>
                <w:sz w:val="22"/>
                <w:szCs w:val="22"/>
              </w:rPr>
              <w:t xml:space="preserve"> </w:t>
            </w:r>
            <w:r w:rsidR="00F66448" w:rsidRPr="00770FCB">
              <w:rPr>
                <w:sz w:val="22"/>
                <w:szCs w:val="22"/>
              </w:rPr>
              <w:t>13-2 и благоустройством прилегающей территории магистрального газопровода-отвода к энергоблоку №</w:t>
            </w:r>
            <w:r w:rsidR="00770FCB">
              <w:rPr>
                <w:sz w:val="22"/>
                <w:szCs w:val="22"/>
              </w:rPr>
              <w:t xml:space="preserve"> </w:t>
            </w:r>
            <w:r w:rsidR="00F66448" w:rsidRPr="00770FCB">
              <w:rPr>
                <w:sz w:val="22"/>
                <w:szCs w:val="22"/>
              </w:rPr>
              <w:t>2 Калининградской ТЭЦ-2</w:t>
            </w:r>
            <w:r w:rsidR="000C78B5" w:rsidRPr="00770FCB">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4B3FC626" w:rsidR="002B60AF" w:rsidRPr="00357682" w:rsidRDefault="00DA7F28" w:rsidP="00357682">
            <w:r w:rsidRPr="00DA7F28">
              <w:t>Восстановительный ремонт с заменой основания площадки КУ №</w:t>
            </w:r>
            <w:r w:rsidR="00770FCB">
              <w:t xml:space="preserve"> </w:t>
            </w:r>
            <w:r w:rsidRPr="00DA7F28">
              <w:t>13-2 и благоустройством прилегающей территории магистрального газопровода-отвода к энергоблоку №</w:t>
            </w:r>
            <w:r w:rsidR="00770FCB">
              <w:t xml:space="preserve"> </w:t>
            </w:r>
            <w:r w:rsidRPr="00DA7F28">
              <w:t>2 Калининградской ТЭЦ-2</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0A21B79" w:rsidR="002B60AF" w:rsidRPr="00E236F5" w:rsidRDefault="00EB7B7E" w:rsidP="006E167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0C78B5">
              <w:rPr>
                <w:sz w:val="24"/>
                <w:szCs w:val="24"/>
              </w:rPr>
              <w:t>1</w:t>
            </w:r>
            <w:r w:rsidR="00EE060F">
              <w:rPr>
                <w:sz w:val="24"/>
                <w:szCs w:val="24"/>
              </w:rPr>
              <w:t>1</w:t>
            </w:r>
            <w:r w:rsidR="00916675">
              <w:rPr>
                <w:sz w:val="24"/>
                <w:szCs w:val="24"/>
              </w:rPr>
              <w:t xml:space="preserve"> августа</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43095440" w14:textId="580A9766" w:rsidR="00EE060F" w:rsidRPr="00EE060F" w:rsidRDefault="00074C86" w:rsidP="00EE060F">
            <w:pPr>
              <w:pStyle w:val="Default"/>
              <w:tabs>
                <w:tab w:val="left" w:pos="-3261"/>
                <w:tab w:val="left" w:pos="-1276"/>
              </w:tabs>
              <w:jc w:val="both"/>
              <w:rPr>
                <w:rFonts w:eastAsia="Times New Roman"/>
                <w:color w:val="auto"/>
                <w:lang w:eastAsia="ru-RU"/>
              </w:rPr>
            </w:pPr>
            <w:r w:rsidRPr="00074C86">
              <w:rPr>
                <w:rFonts w:eastAsia="Times New Roman"/>
                <w:color w:val="auto"/>
                <w:lang w:eastAsia="ru-RU"/>
              </w:rPr>
              <w:t>-</w:t>
            </w:r>
            <w:r w:rsidRPr="00074C86">
              <w:rPr>
                <w:rFonts w:eastAsia="Times New Roman"/>
                <w:color w:val="auto"/>
                <w:lang w:eastAsia="ru-RU"/>
              </w:rPr>
              <w:tab/>
            </w:r>
            <w:r w:rsidR="00EE060F" w:rsidRPr="00EE060F">
              <w:rPr>
                <w:rFonts w:eastAsia="Times New Roman"/>
                <w:color w:val="auto"/>
                <w:lang w:eastAsia="ru-RU"/>
              </w:rPr>
              <w:t>Для участников, не освобожденных от уплаты НДС – 6099624,02 руб. (Шесть миллионов девяносто девять тысяч шестьсот двадцать четыре рубля 02 копейки), в т.ч. НДС 20</w:t>
            </w:r>
            <w:r w:rsidR="00770FCB">
              <w:rPr>
                <w:rFonts w:eastAsia="Times New Roman"/>
                <w:color w:val="auto"/>
                <w:lang w:eastAsia="ru-RU"/>
              </w:rPr>
              <w:t xml:space="preserve"> </w:t>
            </w:r>
            <w:r w:rsidR="00EE060F" w:rsidRPr="00EE060F">
              <w:rPr>
                <w:rFonts w:eastAsia="Times New Roman"/>
                <w:color w:val="auto"/>
                <w:lang w:eastAsia="ru-RU"/>
              </w:rPr>
              <w:t xml:space="preserve">% 1016604,00 руб. (Один миллион шестнадцать тысяч шестьсот четыре рубля 00 </w:t>
            </w:r>
            <w:r w:rsidR="00EE060F" w:rsidRPr="00EE060F">
              <w:rPr>
                <w:rFonts w:eastAsia="Times New Roman"/>
                <w:color w:val="auto"/>
                <w:lang w:eastAsia="ru-RU"/>
              </w:rPr>
              <w:lastRenderedPageBreak/>
              <w:t>копеек).</w:t>
            </w:r>
          </w:p>
          <w:p w14:paraId="4D9D3F8B" w14:textId="57F2068C" w:rsidR="00D034BC" w:rsidRPr="00357682" w:rsidRDefault="00EE060F" w:rsidP="00EE060F">
            <w:pPr>
              <w:pStyle w:val="Default"/>
              <w:tabs>
                <w:tab w:val="left" w:pos="-3261"/>
                <w:tab w:val="left" w:pos="-1276"/>
              </w:tabs>
              <w:jc w:val="both"/>
              <w:rPr>
                <w:rFonts w:eastAsia="Times New Roman"/>
                <w:color w:val="auto"/>
                <w:lang w:eastAsia="ru-RU"/>
              </w:rPr>
            </w:pPr>
            <w:r w:rsidRPr="00EE060F">
              <w:rPr>
                <w:rFonts w:eastAsia="Times New Roman"/>
                <w:color w:val="auto"/>
                <w:lang w:eastAsia="ru-RU"/>
              </w:rPr>
              <w:t>-</w:t>
            </w:r>
            <w:r w:rsidRPr="00EE060F">
              <w:rPr>
                <w:rFonts w:eastAsia="Times New Roman"/>
                <w:color w:val="auto"/>
                <w:lang w:eastAsia="ru-RU"/>
              </w:rPr>
              <w:tab/>
              <w:t>Для участников, освобожденных от уплаты НДС (без НДС) – 5083020,02 руб. (Пять миллионов восемьдесят три тысячи двадцать рублей 02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4CF0990E" w:rsidR="002B60AF" w:rsidRPr="00E236F5" w:rsidRDefault="00A03C33" w:rsidP="000D6170">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EE060F" w:rsidRPr="00EE060F">
              <w:rPr>
                <w:sz w:val="24"/>
                <w:szCs w:val="24"/>
              </w:rPr>
              <w:t>304981,2</w:t>
            </w:r>
            <w:r w:rsidR="00EE060F">
              <w:rPr>
                <w:sz w:val="24"/>
                <w:szCs w:val="24"/>
              </w:rPr>
              <w:t xml:space="preserve">0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EE060F">
              <w:rPr>
                <w:sz w:val="24"/>
                <w:szCs w:val="24"/>
              </w:rPr>
              <w:t>Триста четыре</w:t>
            </w:r>
            <w:r w:rsidR="00A34B8A">
              <w:rPr>
                <w:sz w:val="24"/>
                <w:szCs w:val="24"/>
              </w:rPr>
              <w:t xml:space="preserve"> </w:t>
            </w:r>
            <w:r w:rsidR="00C57E20">
              <w:rPr>
                <w:sz w:val="24"/>
                <w:szCs w:val="24"/>
              </w:rPr>
              <w:t>тысяч</w:t>
            </w:r>
            <w:r w:rsidR="00EE060F">
              <w:rPr>
                <w:sz w:val="24"/>
                <w:szCs w:val="24"/>
              </w:rPr>
              <w:t>и</w:t>
            </w:r>
            <w:r w:rsidR="00C57E20">
              <w:rPr>
                <w:sz w:val="24"/>
                <w:szCs w:val="24"/>
              </w:rPr>
              <w:t xml:space="preserve"> </w:t>
            </w:r>
            <w:r w:rsidR="00EE060F">
              <w:rPr>
                <w:sz w:val="24"/>
                <w:szCs w:val="24"/>
              </w:rPr>
              <w:t>девятьсот восемьдесят один</w:t>
            </w:r>
            <w:r w:rsidR="000D6170">
              <w:rPr>
                <w:sz w:val="24"/>
                <w:szCs w:val="24"/>
              </w:rPr>
              <w:t xml:space="preserve"> рубл</w:t>
            </w:r>
            <w:r w:rsidR="00EE060F">
              <w:rPr>
                <w:sz w:val="24"/>
                <w:szCs w:val="24"/>
              </w:rPr>
              <w:t>ь</w:t>
            </w:r>
            <w:r w:rsidR="00C57E20">
              <w:rPr>
                <w:sz w:val="24"/>
                <w:szCs w:val="24"/>
              </w:rPr>
              <w:t xml:space="preserve"> </w:t>
            </w:r>
            <w:r w:rsidR="00EE060F">
              <w:rPr>
                <w:sz w:val="24"/>
                <w:szCs w:val="24"/>
              </w:rPr>
              <w:t>20</w:t>
            </w:r>
            <w:r w:rsidR="00C57E20">
              <w:rPr>
                <w:sz w:val="24"/>
                <w:szCs w:val="24"/>
              </w:rPr>
              <w:t xml:space="preserve"> копе</w:t>
            </w:r>
            <w:r w:rsidR="00EE060F">
              <w:rPr>
                <w:sz w:val="24"/>
                <w:szCs w:val="24"/>
              </w:rPr>
              <w:t>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486E374E" w:rsidR="002B60AF" w:rsidRPr="00E236F5" w:rsidRDefault="00621989" w:rsidP="00566934">
            <w:pPr>
              <w:pStyle w:val="afff5"/>
              <w:rPr>
                <w:sz w:val="24"/>
                <w:szCs w:val="24"/>
              </w:rPr>
            </w:pPr>
            <w:r>
              <w:rPr>
                <w:sz w:val="24"/>
                <w:szCs w:val="24"/>
              </w:rPr>
              <w:t>1</w:t>
            </w:r>
            <w:r w:rsidR="00B8437B">
              <w:rPr>
                <w:sz w:val="24"/>
                <w:szCs w:val="24"/>
              </w:rPr>
              <w:t>1</w:t>
            </w:r>
            <w:r w:rsidR="00916675">
              <w:rPr>
                <w:sz w:val="24"/>
                <w:szCs w:val="24"/>
              </w:rPr>
              <w:t xml:space="preserve"> августа</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6078002B" w:rsidR="002B60AF" w:rsidRPr="00E236F5" w:rsidRDefault="00621989" w:rsidP="001C3023">
            <w:pPr>
              <w:pStyle w:val="afff5"/>
              <w:rPr>
                <w:sz w:val="24"/>
                <w:szCs w:val="24"/>
              </w:rPr>
            </w:pPr>
            <w:r>
              <w:rPr>
                <w:sz w:val="24"/>
                <w:szCs w:val="24"/>
              </w:rPr>
              <w:t>2</w:t>
            </w:r>
            <w:r w:rsidR="00B8437B">
              <w:rPr>
                <w:sz w:val="24"/>
                <w:szCs w:val="24"/>
              </w:rPr>
              <w:t>1</w:t>
            </w:r>
            <w:r w:rsidR="00F87B55" w:rsidRPr="00F87B55">
              <w:rPr>
                <w:sz w:val="24"/>
                <w:szCs w:val="24"/>
              </w:rPr>
              <w:t xml:space="preserve"> августа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3A5DABBC" w:rsidR="002B60AF" w:rsidRPr="00E236F5" w:rsidRDefault="00621989" w:rsidP="00C57E20">
            <w:pPr>
              <w:pStyle w:val="afff5"/>
              <w:rPr>
                <w:sz w:val="24"/>
                <w:szCs w:val="24"/>
              </w:rPr>
            </w:pPr>
            <w:r>
              <w:rPr>
                <w:sz w:val="24"/>
                <w:szCs w:val="24"/>
              </w:rPr>
              <w:t>2</w:t>
            </w:r>
            <w:r w:rsidR="00B8437B">
              <w:rPr>
                <w:sz w:val="24"/>
                <w:szCs w:val="24"/>
              </w:rPr>
              <w:t>1</w:t>
            </w:r>
            <w:r w:rsidR="00F87B55" w:rsidRPr="00F87B55">
              <w:rPr>
                <w:sz w:val="24"/>
                <w:szCs w:val="24"/>
              </w:rPr>
              <w:t xml:space="preserve"> августа 2020 г. 1</w:t>
            </w:r>
            <w:r w:rsidR="00B8437B">
              <w:rPr>
                <w:sz w:val="24"/>
                <w:szCs w:val="24"/>
              </w:rPr>
              <w:t>2</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1C2C697B" w:rsidR="00506D8E" w:rsidRPr="00E236F5" w:rsidRDefault="00621989" w:rsidP="00357682">
            <w:pPr>
              <w:pStyle w:val="afff5"/>
              <w:rPr>
                <w:sz w:val="24"/>
                <w:szCs w:val="24"/>
              </w:rPr>
            </w:pPr>
            <w:r>
              <w:rPr>
                <w:sz w:val="24"/>
                <w:szCs w:val="24"/>
              </w:rPr>
              <w:t>2</w:t>
            </w:r>
            <w:r w:rsidR="00B8437B">
              <w:rPr>
                <w:sz w:val="24"/>
                <w:szCs w:val="24"/>
              </w:rPr>
              <w:t>1</w:t>
            </w:r>
            <w:r w:rsidR="00F87B55" w:rsidRPr="00F87B55">
              <w:rPr>
                <w:sz w:val="24"/>
                <w:szCs w:val="24"/>
              </w:rPr>
              <w:t xml:space="preserve"> августа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57B2E6D" w:rsidR="002B60AF" w:rsidRPr="00E236F5" w:rsidRDefault="003258E0" w:rsidP="006E1679">
            <w:pPr>
              <w:pStyle w:val="afff5"/>
              <w:rPr>
                <w:sz w:val="24"/>
                <w:szCs w:val="24"/>
              </w:rPr>
            </w:pPr>
            <w:r>
              <w:rPr>
                <w:sz w:val="24"/>
                <w:szCs w:val="24"/>
              </w:rPr>
              <w:t xml:space="preserve">Не позднее </w:t>
            </w:r>
            <w:r w:rsidR="00F87B55">
              <w:rPr>
                <w:sz w:val="24"/>
                <w:szCs w:val="24"/>
              </w:rPr>
              <w:t>2</w:t>
            </w:r>
            <w:r w:rsidR="00B8437B">
              <w:rPr>
                <w:sz w:val="24"/>
                <w:szCs w:val="24"/>
              </w:rPr>
              <w:t>8</w:t>
            </w:r>
            <w:r w:rsidR="00F87B55" w:rsidRPr="00F87B55">
              <w:rPr>
                <w:sz w:val="24"/>
                <w:szCs w:val="24"/>
              </w:rPr>
              <w:t xml:space="preserve"> августа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proofErr w:type="spellStart"/>
            <w:r w:rsidR="0037790C" w:rsidRPr="0037790C">
              <w:rPr>
                <w:sz w:val="24"/>
                <w:szCs w:val="24"/>
              </w:rPr>
              <w:t>закупки</w:t>
            </w:r>
            <w:r w:rsidR="0047134D" w:rsidRPr="00E236F5">
              <w:rPr>
                <w:sz w:val="24"/>
                <w:szCs w:val="24"/>
              </w:rPr>
              <w:t>Запроса</w:t>
            </w:r>
            <w:proofErr w:type="spellEnd"/>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52FBD27F" w:rsidR="00186BA4" w:rsidRPr="00E236F5" w:rsidRDefault="00186BA4" w:rsidP="000D6170">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382DA1">
              <w:rPr>
                <w:sz w:val="24"/>
                <w:szCs w:val="24"/>
              </w:rPr>
              <w:t>1</w:t>
            </w:r>
            <w:r w:rsidR="00DF3B85">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DF3B85">
              <w:rPr>
                <w:sz w:val="24"/>
                <w:szCs w:val="24"/>
              </w:rPr>
              <w:t>18</w:t>
            </w:r>
            <w:r w:rsidR="00402ACF" w:rsidRPr="000F2587">
              <w:rPr>
                <w:sz w:val="24"/>
                <w:szCs w:val="24"/>
              </w:rPr>
              <w:t xml:space="preserve"> календарных дн</w:t>
            </w:r>
            <w:r w:rsidR="00DF3B85">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770FC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770FC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770FC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770FC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770FC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770FC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770FC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770FC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770FC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02B7" w14:textId="77777777" w:rsidR="00CA6836" w:rsidRDefault="00CA6836">
      <w:r>
        <w:separator/>
      </w:r>
    </w:p>
    <w:p w14:paraId="07D0E367" w14:textId="77777777" w:rsidR="00CA6836" w:rsidRDefault="00CA6836"/>
  </w:endnote>
  <w:endnote w:type="continuationSeparator" w:id="0">
    <w:p w14:paraId="572CAD76" w14:textId="77777777" w:rsidR="00CA6836" w:rsidRDefault="00CA6836">
      <w:r>
        <w:continuationSeparator/>
      </w:r>
    </w:p>
    <w:p w14:paraId="68075F02" w14:textId="77777777" w:rsidR="00CA6836" w:rsidRDefault="00CA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A6836" w:rsidRDefault="00CA6836" w:rsidP="00311D38">
    <w:pPr>
      <w:pStyle w:val="ae"/>
      <w:jc w:val="right"/>
    </w:pPr>
    <w:r>
      <w:t>______________________</w:t>
    </w:r>
  </w:p>
  <w:p w14:paraId="79F6D5E6" w14:textId="7D21A262" w:rsidR="00CA6836" w:rsidRPr="00311D38" w:rsidRDefault="00CA683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30F4" w14:textId="77777777" w:rsidR="00CA6836" w:rsidRDefault="00CA6836">
      <w:r>
        <w:separator/>
      </w:r>
    </w:p>
    <w:p w14:paraId="0DFEC128" w14:textId="77777777" w:rsidR="00CA6836" w:rsidRDefault="00CA6836"/>
  </w:footnote>
  <w:footnote w:type="continuationSeparator" w:id="0">
    <w:p w14:paraId="4A081767" w14:textId="77777777" w:rsidR="00CA6836" w:rsidRDefault="00CA6836">
      <w:r>
        <w:continuationSeparator/>
      </w:r>
    </w:p>
    <w:p w14:paraId="3376B378" w14:textId="77777777" w:rsidR="00CA6836" w:rsidRDefault="00CA68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47CE7"/>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6A2F"/>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0FCB"/>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AF0"/>
    <w:rsid w:val="007959FD"/>
    <w:rsid w:val="0079643C"/>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2AEA83-BAF7-44D9-B0F1-FDB52ACF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48</Pages>
  <Words>14412</Words>
  <Characters>82155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96375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206</cp:revision>
  <cp:lastPrinted>2018-12-28T13:05:00Z</cp:lastPrinted>
  <dcterms:created xsi:type="dcterms:W3CDTF">2019-08-06T11:39:00Z</dcterms:created>
  <dcterms:modified xsi:type="dcterms:W3CDTF">2020-08-07T06:44:00Z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