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7BBD8988" w:rsidR="00844438" w:rsidRPr="00B90AFA" w:rsidRDefault="006B634C" w:rsidP="008F5C81">
            <w:pPr>
              <w:jc w:val="center"/>
              <w:rPr>
                <w:rFonts w:ascii="Times New Roman" w:eastAsia="Times New Roman" w:hAnsi="Times New Roman" w:cs="Times New Roman"/>
                <w:bCs/>
                <w:sz w:val="24"/>
                <w:szCs w:val="24"/>
                <w:lang w:eastAsia="ru-RU"/>
              </w:rPr>
            </w:pPr>
            <w:r>
              <w:rPr>
                <w:rFonts w:ascii="Times New Roman" w:hAnsi="Times New Roman" w:cs="Times New Roman"/>
                <w:bCs/>
              </w:rPr>
              <w:t>22</w:t>
            </w:r>
            <w:bookmarkStart w:id="0" w:name="_GoBack"/>
            <w:bookmarkEnd w:id="0"/>
            <w:r w:rsidR="00C31CB1">
              <w:rPr>
                <w:rFonts w:ascii="Times New Roman" w:hAnsi="Times New Roman" w:cs="Times New Roman"/>
                <w:bCs/>
              </w:rPr>
              <w:t xml:space="preserve"> февраля</w:t>
            </w:r>
            <w:r w:rsidR="00AA22B9" w:rsidRPr="00F94C17">
              <w:rPr>
                <w:rFonts w:ascii="Times New Roman" w:hAnsi="Times New Roman" w:cs="Times New Roman"/>
                <w:bCs/>
              </w:rPr>
              <w:t xml:space="preserve"> 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49082F9C"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BA132E">
        <w:rPr>
          <w:rFonts w:ascii="Times New Roman" w:eastAsia="Times New Roman" w:hAnsi="Times New Roman" w:cs="Times New Roman"/>
          <w:bCs/>
          <w:sz w:val="24"/>
          <w:szCs w:val="28"/>
          <w:lang w:eastAsia="ru-RU"/>
        </w:rPr>
        <w:t>р</w:t>
      </w:r>
      <w:r w:rsidR="00BA132E" w:rsidRPr="00BA132E">
        <w:rPr>
          <w:rFonts w:ascii="Times New Roman" w:eastAsia="Times New Roman" w:hAnsi="Times New Roman" w:cs="Times New Roman"/>
          <w:bCs/>
          <w:sz w:val="24"/>
          <w:szCs w:val="28"/>
          <w:lang w:eastAsia="ru-RU"/>
        </w:rPr>
        <w:t>емонт колодцев телемеханики с восстановлением лакокрасочного покрытия блок-боксов БКС на 88, 95, 96, 105, 119, 129 км магистрального газопровода Острогожск-Лебединский ГОК.</w:t>
      </w:r>
      <w:r w:rsidR="001A06F9" w:rsidRPr="00B90AFA">
        <w:rPr>
          <w:rFonts w:ascii="Times New Roman" w:hAnsi="Times New Roman" w:cs="Times New Roman"/>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36CA23E4"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C072DF">
        <w:rPr>
          <w:rFonts w:ascii="Times New Roman" w:hAnsi="Times New Roman" w:cs="Times New Roman"/>
        </w:rPr>
        <w:t>1</w:t>
      </w:r>
      <w:r w:rsidR="00EA3456" w:rsidRPr="00B90AFA">
        <w:rPr>
          <w:rFonts w:ascii="Times New Roman" w:hAnsi="Times New Roman" w:cs="Times New Roman"/>
        </w:rPr>
        <w:t>.</w:t>
      </w:r>
      <w:r w:rsidR="00C072DF">
        <w:rPr>
          <w:rFonts w:ascii="Times New Roman" w:hAnsi="Times New Roman" w:cs="Times New Roman"/>
        </w:rPr>
        <w:t>12</w:t>
      </w:r>
      <w:r w:rsidR="00EA3456" w:rsidRPr="00B90AFA">
        <w:rPr>
          <w:rFonts w:ascii="Times New Roman" w:hAnsi="Times New Roman" w:cs="Times New Roman"/>
        </w:rPr>
        <w:t>.202</w:t>
      </w:r>
      <w:r w:rsidR="001C4856">
        <w:rPr>
          <w:rFonts w:ascii="Times New Roman" w:hAnsi="Times New Roman" w:cs="Times New Roman"/>
        </w:rPr>
        <w:t>2</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DA2BB" w14:textId="77777777" w:rsidR="00D21CC7" w:rsidRDefault="00D21CC7" w:rsidP="003351F5">
      <w:pPr>
        <w:spacing w:after="0" w:line="240" w:lineRule="auto"/>
      </w:pPr>
      <w:r>
        <w:separator/>
      </w:r>
    </w:p>
  </w:endnote>
  <w:endnote w:type="continuationSeparator" w:id="0">
    <w:p w14:paraId="6CE5E261" w14:textId="77777777" w:rsidR="00D21CC7" w:rsidRDefault="00D21CC7"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076E252" w:rsidR="00BE398F" w:rsidRDefault="00BE398F">
        <w:pPr>
          <w:pStyle w:val="af3"/>
          <w:jc w:val="center"/>
        </w:pPr>
        <w:r>
          <w:fldChar w:fldCharType="begin"/>
        </w:r>
        <w:r>
          <w:instrText>PAGE   \* MERGEFORMAT</w:instrText>
        </w:r>
        <w:r>
          <w:fldChar w:fldCharType="separate"/>
        </w:r>
        <w:r w:rsidR="006B634C">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52159" w14:textId="77777777" w:rsidR="00D21CC7" w:rsidRDefault="00D21CC7" w:rsidP="003351F5">
      <w:pPr>
        <w:spacing w:after="0" w:line="240" w:lineRule="auto"/>
      </w:pPr>
      <w:r>
        <w:separator/>
      </w:r>
    </w:p>
  </w:footnote>
  <w:footnote w:type="continuationSeparator" w:id="0">
    <w:p w14:paraId="4AB57F4B" w14:textId="77777777" w:rsidR="00D21CC7" w:rsidRDefault="00D21CC7"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169B"/>
    <w:rsid w:val="00183813"/>
    <w:rsid w:val="001855E3"/>
    <w:rsid w:val="00190EE0"/>
    <w:rsid w:val="001928BC"/>
    <w:rsid w:val="00195BE9"/>
    <w:rsid w:val="001A021D"/>
    <w:rsid w:val="001A06F9"/>
    <w:rsid w:val="001A4731"/>
    <w:rsid w:val="001A48FE"/>
    <w:rsid w:val="001A4FF2"/>
    <w:rsid w:val="001A5E52"/>
    <w:rsid w:val="001B7364"/>
    <w:rsid w:val="001B7ADC"/>
    <w:rsid w:val="001C3EEB"/>
    <w:rsid w:val="001C4856"/>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510C3"/>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48BD"/>
    <w:rsid w:val="006B634C"/>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4DF9"/>
    <w:rsid w:val="008F5C81"/>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004D"/>
    <w:rsid w:val="00B12C33"/>
    <w:rsid w:val="00B130D1"/>
    <w:rsid w:val="00B152D9"/>
    <w:rsid w:val="00B17904"/>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32E"/>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1CB1"/>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21CC7"/>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90ECF-84D4-43B5-A25E-67BCB8C4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8</Pages>
  <Words>4158</Words>
  <Characters>23704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362</cp:revision>
  <cp:lastPrinted>2019-12-12T14:02:00Z</cp:lastPrinted>
  <dcterms:created xsi:type="dcterms:W3CDTF">2014-10-16T07:09:00Z</dcterms:created>
  <dcterms:modified xsi:type="dcterms:W3CDTF">2022-02-18T13:24:00Z</dcterms:modified>
</cp:coreProperties>
</file>