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7D3750">
        <w:tc>
          <w:tcPr>
            <w:tcW w:w="5069" w:type="dxa"/>
          </w:tcPr>
          <w:p w:rsidR="00E54346" w:rsidRPr="00D00A37" w:rsidRDefault="00E54346" w:rsidP="007D3750">
            <w:pPr>
              <w:widowControl w:val="0"/>
              <w:autoSpaceDE w:val="0"/>
              <w:autoSpaceDN w:val="0"/>
              <w:adjustRightInd w:val="0"/>
              <w:jc w:val="center"/>
              <w:rPr>
                <w:rFonts w:ascii="Times New Roman CYR" w:hAnsi="Times New Roman CYR" w:cs="Times New Roman CYR"/>
                <w:b/>
                <w:bCs/>
              </w:rPr>
            </w:pPr>
          </w:p>
          <w:p w:rsidR="00E54346" w:rsidRDefault="00E54346" w:rsidP="007D3750">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7D37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7D37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7D3750">
            <w:pPr>
              <w:widowControl w:val="0"/>
              <w:autoSpaceDE w:val="0"/>
              <w:autoSpaceDN w:val="0"/>
              <w:adjustRightInd w:val="0"/>
              <w:jc w:val="center"/>
              <w:rPr>
                <w:rFonts w:ascii="Times New Roman CYR" w:hAnsi="Times New Roman CYR" w:cs="Times New Roman CYR"/>
              </w:rPr>
            </w:pPr>
          </w:p>
          <w:p w:rsidR="00E54346" w:rsidRDefault="00E54346" w:rsidP="007D3750">
            <w:pPr>
              <w:widowControl w:val="0"/>
              <w:autoSpaceDE w:val="0"/>
              <w:autoSpaceDN w:val="0"/>
              <w:adjustRightInd w:val="0"/>
              <w:jc w:val="center"/>
              <w:rPr>
                <w:rFonts w:ascii="Times New Roman CYR" w:hAnsi="Times New Roman CYR" w:cs="Times New Roman CYR"/>
              </w:rPr>
            </w:pPr>
          </w:p>
          <w:p w:rsidR="00E54346" w:rsidRDefault="00E54346" w:rsidP="007D37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FD61A7" w:rsidP="005E0F0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19 января</w:t>
            </w:r>
            <w:bookmarkStart w:id="0" w:name="_GoBack"/>
            <w:bookmarkEnd w:id="0"/>
            <w:r w:rsidR="00E54346">
              <w:rPr>
                <w:rFonts w:ascii="Times New Roman CYR" w:hAnsi="Times New Roman CYR" w:cs="Times New Roman CYR"/>
              </w:rPr>
              <w:t xml:space="preserve"> 201</w:t>
            </w:r>
            <w:r w:rsidR="005E0F0D">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7D3750">
            <w:pPr>
              <w:widowControl w:val="0"/>
              <w:autoSpaceDE w:val="0"/>
              <w:autoSpaceDN w:val="0"/>
              <w:adjustRightInd w:val="0"/>
              <w:jc w:val="center"/>
              <w:rPr>
                <w:rFonts w:ascii="Times New Roman CYR" w:hAnsi="Times New Roman CYR" w:cs="Times New Roman CYR"/>
                <w:b/>
                <w:bCs/>
              </w:rPr>
            </w:pPr>
          </w:p>
          <w:p w:rsidR="00E54346" w:rsidRDefault="00E54346" w:rsidP="007D3750">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7555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2B1518">
        <w:rPr>
          <w:rFonts w:ascii="Times New Roman" w:hAnsi="Times New Roman"/>
          <w:b/>
          <w:sz w:val="28"/>
          <w:szCs w:val="28"/>
        </w:rPr>
        <w:t>:</w:t>
      </w:r>
      <w:r w:rsidRPr="002B1518">
        <w:rPr>
          <w:rFonts w:ascii="Times New Roman" w:hAnsi="Times New Roman"/>
          <w:sz w:val="28"/>
          <w:szCs w:val="28"/>
        </w:rPr>
        <w:t xml:space="preserve"> «</w:t>
      </w:r>
      <w:r w:rsidR="00E661C3" w:rsidRPr="002B1518">
        <w:rPr>
          <w:rFonts w:ascii="Times New Roman" w:hAnsi="Times New Roman"/>
          <w:sz w:val="28"/>
          <w:szCs w:val="28"/>
        </w:rPr>
        <w:t>Обустройство 1-го участка вдольтрассового проезда к КУ №376, №377, №378 и КУ №379 магистрального газопровода Острогожск-Лебединский ГОК от дороги на с. Монаково</w:t>
      </w:r>
      <w:r w:rsidRPr="002B1518">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Pr="000A7CB3" w:rsidRDefault="007D3750" w:rsidP="00E54346">
      <w:pPr>
        <w:spacing w:after="0" w:line="240" w:lineRule="auto"/>
        <w:rPr>
          <w:rFonts w:ascii="Times New Roman" w:hAnsi="Times New Roman"/>
          <w:b/>
          <w:color w:val="000000"/>
          <w:sz w:val="28"/>
          <w:szCs w:val="28"/>
        </w:rPr>
      </w:pPr>
      <w:r w:rsidRPr="000A7CB3">
        <w:rPr>
          <w:rFonts w:ascii="Times New Roman" w:hAnsi="Times New Roman"/>
          <w:b/>
          <w:color w:val="000000"/>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5E0F0D">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7D3750" w:rsidRPr="007D3750" w:rsidRDefault="00E54346" w:rsidP="007D3750">
      <w:pPr>
        <w:pStyle w:val="Default"/>
        <w:numPr>
          <w:ilvl w:val="0"/>
          <w:numId w:val="2"/>
        </w:numPr>
        <w:tabs>
          <w:tab w:val="left" w:pos="-1276"/>
          <w:tab w:val="left" w:pos="0"/>
          <w:tab w:val="left" w:pos="142"/>
        </w:tabs>
        <w:ind w:left="0" w:firstLine="0"/>
        <w:jc w:val="both"/>
        <w:rPr>
          <w:bCs/>
          <w:color w:val="auto"/>
          <w:sz w:val="28"/>
          <w:szCs w:val="28"/>
        </w:rPr>
      </w:pPr>
      <w:r w:rsidRPr="007D3750">
        <w:rPr>
          <w:rStyle w:val="a4"/>
          <w:color w:val="auto"/>
          <w:sz w:val="28"/>
          <w:szCs w:val="28"/>
        </w:rPr>
        <w:lastRenderedPageBreak/>
        <w:t>Период оказания услуг:</w:t>
      </w:r>
      <w:r w:rsidRPr="007D3750">
        <w:rPr>
          <w:rStyle w:val="a4"/>
          <w:b w:val="0"/>
          <w:color w:val="auto"/>
          <w:sz w:val="28"/>
          <w:szCs w:val="28"/>
        </w:rPr>
        <w:t xml:space="preserve"> </w:t>
      </w:r>
      <w:r w:rsidR="007D3750" w:rsidRPr="007D3750">
        <w:rPr>
          <w:bCs/>
          <w:color w:val="auto"/>
          <w:sz w:val="28"/>
          <w:szCs w:val="28"/>
        </w:rPr>
        <w:t>1</w:t>
      </w:r>
      <w:r w:rsidR="007D3750">
        <w:rPr>
          <w:bCs/>
          <w:color w:val="auto"/>
          <w:sz w:val="28"/>
          <w:szCs w:val="28"/>
        </w:rPr>
        <w:t>0</w:t>
      </w:r>
      <w:r w:rsidR="007D3750" w:rsidRPr="007D3750">
        <w:rPr>
          <w:bCs/>
          <w:color w:val="auto"/>
          <w:sz w:val="28"/>
          <w:szCs w:val="28"/>
        </w:rPr>
        <w:t xml:space="preserve"> (</w:t>
      </w:r>
      <w:r w:rsidR="007D3750">
        <w:rPr>
          <w:bCs/>
          <w:color w:val="auto"/>
          <w:sz w:val="28"/>
          <w:szCs w:val="28"/>
        </w:rPr>
        <w:t>деся</w:t>
      </w:r>
      <w:r w:rsidR="007D3750" w:rsidRPr="007D3750">
        <w:rPr>
          <w:bCs/>
          <w:color w:val="auto"/>
          <w:sz w:val="28"/>
          <w:szCs w:val="28"/>
        </w:rPr>
        <w:t>т</w:t>
      </w:r>
      <w:r w:rsidR="00CE2765">
        <w:rPr>
          <w:bCs/>
          <w:color w:val="auto"/>
          <w:sz w:val="28"/>
          <w:szCs w:val="28"/>
        </w:rPr>
        <w:t>ь) кален</w:t>
      </w:r>
      <w:r w:rsidR="007D3750" w:rsidRPr="007D3750">
        <w:rPr>
          <w:bCs/>
          <w:color w:val="auto"/>
          <w:sz w:val="28"/>
          <w:szCs w:val="28"/>
        </w:rPr>
        <w:t>дарных дней.</w:t>
      </w:r>
    </w:p>
    <w:p w:rsidR="00E54346" w:rsidRPr="007D3750" w:rsidRDefault="00E54346" w:rsidP="007D3750">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9E2E11" w:rsidRDefault="000A361D" w:rsidP="009E2E11">
      <w:pPr>
        <w:pStyle w:val="Default"/>
        <w:numPr>
          <w:ilvl w:val="0"/>
          <w:numId w:val="39"/>
        </w:numPr>
        <w:tabs>
          <w:tab w:val="left" w:pos="-3261"/>
          <w:tab w:val="left" w:pos="-1276"/>
        </w:tabs>
        <w:ind w:left="0" w:firstLine="284"/>
        <w:jc w:val="both"/>
        <w:rPr>
          <w:bCs/>
          <w:color w:val="auto"/>
          <w:sz w:val="28"/>
          <w:szCs w:val="28"/>
        </w:rPr>
      </w:pPr>
      <w:r w:rsidRPr="009E2E11">
        <w:rPr>
          <w:bCs/>
          <w:color w:val="auto"/>
          <w:sz w:val="28"/>
          <w:szCs w:val="28"/>
        </w:rPr>
        <w:t xml:space="preserve">Для участников, не освобожденных от уплаты НДС – </w:t>
      </w:r>
      <w:r w:rsidR="009E2E11" w:rsidRPr="009E2E11">
        <w:rPr>
          <w:bCs/>
          <w:color w:val="auto"/>
          <w:sz w:val="28"/>
          <w:szCs w:val="28"/>
        </w:rPr>
        <w:t xml:space="preserve">11 253 476,47 руб. (одиннадцать миллионов двести пятьдесят три тысячи четыреста семьдесят шесть рублей </w:t>
      </w:r>
      <w:r w:rsidR="007D3750">
        <w:rPr>
          <w:bCs/>
          <w:color w:val="auto"/>
          <w:sz w:val="28"/>
          <w:szCs w:val="28"/>
        </w:rPr>
        <w:t>47</w:t>
      </w:r>
      <w:r w:rsidR="009E2E11" w:rsidRPr="009E2E11">
        <w:rPr>
          <w:bCs/>
          <w:color w:val="auto"/>
          <w:sz w:val="28"/>
          <w:szCs w:val="28"/>
        </w:rPr>
        <w:t xml:space="preserve"> копеек), в т.ч. НДС (18%) 1 716 632,00 руб. (один миллион семьсот шестнадцать тысяч шестьсот тридцать два рубля 00 копеек)</w:t>
      </w:r>
      <w:r w:rsidRPr="009E2E11">
        <w:rPr>
          <w:bCs/>
          <w:color w:val="auto"/>
          <w:sz w:val="28"/>
          <w:szCs w:val="28"/>
        </w:rPr>
        <w:t>.</w:t>
      </w:r>
    </w:p>
    <w:p w:rsidR="00627D24" w:rsidRPr="009E2E11" w:rsidRDefault="00627D24" w:rsidP="009E2E11">
      <w:pPr>
        <w:pStyle w:val="Default"/>
        <w:numPr>
          <w:ilvl w:val="0"/>
          <w:numId w:val="39"/>
        </w:numPr>
        <w:tabs>
          <w:tab w:val="left" w:pos="-3261"/>
          <w:tab w:val="left" w:pos="-1276"/>
        </w:tabs>
        <w:ind w:left="0" w:firstLine="284"/>
        <w:jc w:val="both"/>
        <w:rPr>
          <w:bCs/>
          <w:color w:val="auto"/>
          <w:sz w:val="28"/>
          <w:szCs w:val="28"/>
        </w:rPr>
      </w:pPr>
      <w:r w:rsidRPr="009E2E11">
        <w:rPr>
          <w:bCs/>
          <w:color w:val="auto"/>
          <w:sz w:val="28"/>
          <w:szCs w:val="28"/>
        </w:rPr>
        <w:t xml:space="preserve">Для участников, освобожденных от уплаты НДС (без НДС) – </w:t>
      </w:r>
      <w:r w:rsidR="009E2E11" w:rsidRPr="009E2E11">
        <w:rPr>
          <w:bCs/>
          <w:color w:val="auto"/>
          <w:sz w:val="28"/>
          <w:szCs w:val="28"/>
        </w:rPr>
        <w:t xml:space="preserve">9 536 844,47 руб. (девять миллионов пятьсот тридцать шесть тысяч восемьсот сорок четыре рубля </w:t>
      </w:r>
      <w:r w:rsidR="007D3750">
        <w:rPr>
          <w:bCs/>
          <w:color w:val="auto"/>
          <w:sz w:val="28"/>
          <w:szCs w:val="28"/>
        </w:rPr>
        <w:t>47</w:t>
      </w:r>
      <w:r w:rsidR="009E2E11" w:rsidRPr="009E2E11">
        <w:rPr>
          <w:bCs/>
          <w:color w:val="auto"/>
          <w:sz w:val="28"/>
          <w:szCs w:val="28"/>
        </w:rPr>
        <w:t xml:space="preserve"> копеек)</w:t>
      </w:r>
      <w:r w:rsidRPr="009E2E11">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020D8F" w:rsidRDefault="00A7555D" w:rsidP="00E54346">
      <w:pPr>
        <w:pStyle w:val="Default"/>
        <w:tabs>
          <w:tab w:val="left" w:pos="-1276"/>
          <w:tab w:val="left" w:pos="0"/>
          <w:tab w:val="left" w:pos="142"/>
        </w:tabs>
        <w:jc w:val="both"/>
        <w:rPr>
          <w:bCs/>
          <w:color w:val="auto"/>
          <w:sz w:val="28"/>
          <w:szCs w:val="28"/>
        </w:rPr>
      </w:pPr>
      <w:r w:rsidRPr="00020D8F">
        <w:rPr>
          <w:bCs/>
          <w:color w:val="auto"/>
          <w:sz w:val="28"/>
          <w:szCs w:val="28"/>
        </w:rPr>
        <w:t>Российская Федерация, Белгородская область, г. Губкин.</w:t>
      </w:r>
    </w:p>
    <w:p w:rsidR="00A7555D" w:rsidRPr="00020D8F" w:rsidRDefault="00A7555D" w:rsidP="00E54346">
      <w:pPr>
        <w:pStyle w:val="Default"/>
        <w:tabs>
          <w:tab w:val="left" w:pos="-1276"/>
          <w:tab w:val="left" w:pos="0"/>
          <w:tab w:val="left" w:pos="142"/>
        </w:tabs>
        <w:jc w:val="both"/>
        <w:rPr>
          <w:bCs/>
          <w:color w:val="FF0000"/>
          <w:sz w:val="28"/>
          <w:szCs w:val="28"/>
        </w:rPr>
      </w:pPr>
    </w:p>
    <w:p w:rsidR="00E54346" w:rsidRPr="00020D8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20D8F">
        <w:rPr>
          <w:b/>
          <w:bCs/>
          <w:color w:val="auto"/>
          <w:sz w:val="28"/>
          <w:szCs w:val="28"/>
        </w:rPr>
        <w:t>Вид работ и услуг</w:t>
      </w:r>
      <w:r w:rsidR="00E54346" w:rsidRPr="00020D8F">
        <w:rPr>
          <w:b/>
          <w:bCs/>
          <w:color w:val="auto"/>
          <w:sz w:val="28"/>
          <w:szCs w:val="28"/>
        </w:rPr>
        <w:t>:</w:t>
      </w:r>
    </w:p>
    <w:p w:rsidR="00943511" w:rsidRPr="00020D8F" w:rsidRDefault="00252F7A" w:rsidP="002E14B8">
      <w:pPr>
        <w:pStyle w:val="Default"/>
        <w:numPr>
          <w:ilvl w:val="0"/>
          <w:numId w:val="36"/>
        </w:numPr>
        <w:tabs>
          <w:tab w:val="left" w:pos="-4395"/>
        </w:tabs>
        <w:ind w:left="0" w:firstLine="284"/>
        <w:jc w:val="both"/>
        <w:rPr>
          <w:bCs/>
          <w:sz w:val="28"/>
          <w:szCs w:val="28"/>
        </w:rPr>
      </w:pPr>
      <w:r w:rsidRPr="00020D8F">
        <w:rPr>
          <w:bCs/>
          <w:color w:val="auto"/>
          <w:sz w:val="28"/>
          <w:szCs w:val="28"/>
        </w:rPr>
        <w:t xml:space="preserve">Выполнить </w:t>
      </w:r>
      <w:r w:rsidRPr="00020D8F">
        <w:rPr>
          <w:sz w:val="28"/>
          <w:szCs w:val="28"/>
        </w:rPr>
        <w:t>восстановительный ремонт вдольтрассовой дороги, устранив дефекты в виде просадок, ям, выбоин и ухабов, до заданных транспортно-эксплуатационных технических характеристик</w:t>
      </w:r>
      <w:r w:rsidR="002E14B8" w:rsidRPr="00020D8F">
        <w:rPr>
          <w:bCs/>
          <w:color w:val="auto"/>
          <w:sz w:val="28"/>
          <w:szCs w:val="28"/>
        </w:rPr>
        <w:t>.</w:t>
      </w:r>
    </w:p>
    <w:p w:rsidR="003D1A85" w:rsidRPr="00020D8F" w:rsidRDefault="00E54346" w:rsidP="00943511">
      <w:pPr>
        <w:pStyle w:val="Default"/>
        <w:numPr>
          <w:ilvl w:val="0"/>
          <w:numId w:val="36"/>
        </w:numPr>
        <w:tabs>
          <w:tab w:val="left" w:pos="-4395"/>
        </w:tabs>
        <w:ind w:left="0" w:firstLine="284"/>
        <w:jc w:val="both"/>
        <w:rPr>
          <w:bCs/>
          <w:sz w:val="28"/>
          <w:szCs w:val="28"/>
        </w:rPr>
      </w:pPr>
      <w:r w:rsidRPr="00020D8F">
        <w:rPr>
          <w:color w:val="000000" w:themeColor="text1"/>
          <w:sz w:val="28"/>
          <w:szCs w:val="28"/>
        </w:rPr>
        <w:t xml:space="preserve"> </w:t>
      </w:r>
      <w:r w:rsidR="003D1A85" w:rsidRPr="00020D8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020D8F" w:rsidRDefault="00C108E2" w:rsidP="00C108E2">
      <w:pPr>
        <w:numPr>
          <w:ilvl w:val="0"/>
          <w:numId w:val="11"/>
        </w:numPr>
        <w:spacing w:after="0" w:line="240" w:lineRule="auto"/>
        <w:ind w:left="0" w:firstLine="142"/>
        <w:contextualSpacing/>
        <w:rPr>
          <w:rFonts w:ascii="Times New Roman" w:hAnsi="Times New Roman"/>
          <w:bCs/>
          <w:sz w:val="28"/>
          <w:szCs w:val="28"/>
        </w:rPr>
      </w:pPr>
      <w:r w:rsidRPr="00020D8F">
        <w:rPr>
          <w:rFonts w:ascii="Times New Roman" w:hAnsi="Times New Roman"/>
          <w:bCs/>
          <w:sz w:val="28"/>
          <w:szCs w:val="28"/>
        </w:rPr>
        <w:t>Организовать складское хозяйство, установить временные здания и сооружения</w:t>
      </w:r>
      <w:r w:rsidR="00F21F05" w:rsidRPr="00020D8F">
        <w:rPr>
          <w:rFonts w:ascii="Times New Roman" w:hAnsi="Times New Roman"/>
          <w:bCs/>
          <w:sz w:val="28"/>
          <w:szCs w:val="28"/>
        </w:rPr>
        <w:t>.</w:t>
      </w:r>
      <w:r w:rsidRPr="00020D8F">
        <w:rPr>
          <w:rFonts w:ascii="Times New Roman" w:hAnsi="Times New Roman"/>
          <w:bCs/>
          <w:sz w:val="28"/>
          <w:szCs w:val="28"/>
        </w:rPr>
        <w:t xml:space="preserve"> </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066D0E" w:rsidRDefault="00A95787" w:rsidP="007D3750">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066D0E">
        <w:rPr>
          <w:rFonts w:ascii="Times New Roman" w:hAnsi="Times New Roman"/>
          <w:b/>
          <w:bCs/>
          <w:color w:val="000000"/>
          <w:sz w:val="28"/>
          <w:szCs w:val="28"/>
        </w:rPr>
        <w:t xml:space="preserve">Технические требования </w:t>
      </w:r>
      <w:r w:rsidR="00E663CF" w:rsidRPr="00066D0E">
        <w:rPr>
          <w:rFonts w:ascii="Times New Roman" w:hAnsi="Times New Roman"/>
          <w:b/>
          <w:bCs/>
          <w:color w:val="000000"/>
          <w:sz w:val="28"/>
          <w:szCs w:val="28"/>
        </w:rPr>
        <w:t>к выполняемым работам и материалам</w:t>
      </w:r>
      <w:r w:rsidRPr="00066D0E">
        <w:rPr>
          <w:rFonts w:ascii="Times New Roman" w:hAnsi="Times New Roman"/>
          <w:b/>
          <w:bCs/>
          <w:color w:val="000000"/>
          <w:sz w:val="28"/>
          <w:szCs w:val="28"/>
        </w:rPr>
        <w:t xml:space="preserve">: </w:t>
      </w:r>
      <w:r w:rsidR="005D4E5E" w:rsidRPr="00066D0E">
        <w:rPr>
          <w:rFonts w:ascii="Times New Roman" w:hAnsi="Times New Roman"/>
          <w:b/>
          <w:bCs/>
          <w:color w:val="000000"/>
          <w:sz w:val="28"/>
          <w:szCs w:val="28"/>
        </w:rPr>
        <w:t xml:space="preserve">   </w:t>
      </w:r>
    </w:p>
    <w:p w:rsidR="009647F0" w:rsidRPr="009647F0" w:rsidRDefault="009647F0" w:rsidP="009647F0">
      <w:pPr>
        <w:tabs>
          <w:tab w:val="left" w:pos="-4395"/>
          <w:tab w:val="left" w:pos="-1276"/>
        </w:tabs>
        <w:autoSpaceDE w:val="0"/>
        <w:autoSpaceDN w:val="0"/>
        <w:adjustRightInd w:val="0"/>
        <w:spacing w:after="0" w:line="240" w:lineRule="auto"/>
        <w:ind w:left="284"/>
        <w:contextualSpacing/>
        <w:jc w:val="both"/>
        <w:rPr>
          <w:rFonts w:ascii="Times New Roman" w:hAnsi="Times New Roman"/>
          <w:color w:val="000000"/>
          <w:sz w:val="28"/>
          <w:szCs w:val="28"/>
        </w:rPr>
      </w:pPr>
      <w:r w:rsidRPr="009647F0">
        <w:rPr>
          <w:rFonts w:ascii="Times New Roman" w:hAnsi="Times New Roman"/>
          <w:color w:val="000000"/>
          <w:sz w:val="28"/>
          <w:szCs w:val="28"/>
        </w:rPr>
        <w:t>-</w:t>
      </w:r>
      <w:r w:rsidRPr="009647F0">
        <w:rPr>
          <w:rFonts w:ascii="Times New Roman" w:hAnsi="Times New Roman"/>
          <w:color w:val="000000"/>
          <w:sz w:val="28"/>
          <w:szCs w:val="28"/>
        </w:rPr>
        <w:tab/>
        <w:t>Выполнить ремонт основания подъездной дороги и площадки V категории (согласно ГОСТ Р 52398-2005), при котором показатель обеспечения безопасности и эксплуатационного состояния будет удовлетворять требованиям стандарта ГОСТ Р 50597-93</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sz w:val="28"/>
          <w:szCs w:val="28"/>
        </w:rPr>
        <w:lastRenderedPageBreak/>
        <w:t>Восстановление полотна дороги произвести в соответствии с 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В процессе работы следует вести контроль за толщиной укладываемого щебеночного слоя, ровностью, соблюдением продольных и поперечных укладов.</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Ровность покрытия проезжей части должна соответствовать требованиям, приведенным в таблице 2. ГОСТ Р 50597-93.</w:t>
      </w:r>
    </w:p>
    <w:p w:rsidR="009647F0" w:rsidRPr="009647F0" w:rsidRDefault="009647F0" w:rsidP="009647F0">
      <w:pPr>
        <w:numPr>
          <w:ilvl w:val="0"/>
          <w:numId w:val="46"/>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9647F0">
        <w:rPr>
          <w:rFonts w:ascii="Times New Roman" w:hAnsi="Times New Roman"/>
          <w:sz w:val="28"/>
          <w:szCs w:val="28"/>
          <w:bdr w:val="none" w:sz="0" w:space="0" w:color="auto" w:frame="1"/>
        </w:rPr>
        <w:t>ГОСТ 25607-2009.</w:t>
      </w:r>
    </w:p>
    <w:p w:rsidR="009647F0" w:rsidRDefault="007D3750" w:rsidP="009647F0">
      <w:pPr>
        <w:numPr>
          <w:ilvl w:val="0"/>
          <w:numId w:val="46"/>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sz w:val="28"/>
          <w:szCs w:val="28"/>
        </w:rPr>
      </w:pPr>
      <w:r>
        <w:rPr>
          <w:rFonts w:ascii="Times New Roman" w:hAnsi="Times New Roman"/>
          <w:sz w:val="28"/>
          <w:szCs w:val="28"/>
        </w:rPr>
        <w:t xml:space="preserve">При производстве работ </w:t>
      </w:r>
      <w:r w:rsidR="009647F0" w:rsidRPr="009647F0">
        <w:rPr>
          <w:rFonts w:ascii="Times New Roman" w:hAnsi="Times New Roman"/>
          <w:sz w:val="28"/>
          <w:szCs w:val="28"/>
        </w:rPr>
        <w:t>фракция щ</w:t>
      </w:r>
      <w:r w:rsidR="009647F0" w:rsidRPr="009647F0">
        <w:rPr>
          <w:rFonts w:ascii="Times New Roman" w:hAnsi="Times New Roman"/>
          <w:color w:val="000000"/>
          <w:sz w:val="28"/>
          <w:szCs w:val="28"/>
        </w:rPr>
        <w:t xml:space="preserve">ебеня и гравия </w:t>
      </w:r>
      <w:r w:rsidR="009647F0" w:rsidRPr="009647F0">
        <w:rPr>
          <w:rFonts w:ascii="Times New Roman" w:hAnsi="Times New Roman"/>
          <w:sz w:val="28"/>
          <w:szCs w:val="28"/>
        </w:rPr>
        <w:t>по своему составу и содержанию должны соответствовать техническим условиям ГОСТ 8267-93.</w:t>
      </w:r>
    </w:p>
    <w:p w:rsidR="009647F0" w:rsidRPr="009647F0" w:rsidRDefault="009647F0" w:rsidP="009647F0">
      <w:pPr>
        <w:tabs>
          <w:tab w:val="left" w:pos="-4395"/>
          <w:tab w:val="left" w:pos="-1276"/>
        </w:tabs>
        <w:autoSpaceDE w:val="0"/>
        <w:autoSpaceDN w:val="0"/>
        <w:adjustRightInd w:val="0"/>
        <w:spacing w:after="0" w:line="240" w:lineRule="auto"/>
        <w:ind w:left="357"/>
        <w:contextualSpacing/>
        <w:jc w:val="both"/>
        <w:rPr>
          <w:rFonts w:ascii="Times New Roman" w:hAnsi="Times New Roman"/>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066D0E" w:rsidRDefault="00C108E2" w:rsidP="0042154D">
      <w:pPr>
        <w:pStyle w:val="Default"/>
        <w:numPr>
          <w:ilvl w:val="0"/>
          <w:numId w:val="38"/>
        </w:numPr>
        <w:ind w:left="0" w:firstLine="284"/>
        <w:jc w:val="both"/>
        <w:rPr>
          <w:rStyle w:val="a4"/>
          <w:color w:val="auto"/>
          <w:sz w:val="28"/>
          <w:szCs w:val="28"/>
        </w:rPr>
      </w:pPr>
      <w:r w:rsidRPr="00066D0E">
        <w:rPr>
          <w:color w:val="auto"/>
          <w:spacing w:val="3"/>
          <w:sz w:val="28"/>
          <w:szCs w:val="28"/>
        </w:rPr>
        <w:t xml:space="preserve">На стадии подачи заявки Участник должен будет представить конкретный список </w:t>
      </w:r>
      <w:r w:rsidRPr="00066D0E">
        <w:rPr>
          <w:color w:val="auto"/>
          <w:spacing w:val="1"/>
          <w:sz w:val="28"/>
          <w:szCs w:val="28"/>
        </w:rPr>
        <w:t>механизмов и</w:t>
      </w:r>
      <w:r w:rsidRPr="00066D0E">
        <w:rPr>
          <w:color w:val="auto"/>
          <w:spacing w:val="6"/>
          <w:sz w:val="28"/>
          <w:szCs w:val="28"/>
        </w:rPr>
        <w:t xml:space="preserve"> </w:t>
      </w:r>
      <w:r w:rsidRPr="00066D0E">
        <w:rPr>
          <w:color w:val="auto"/>
          <w:spacing w:val="3"/>
          <w:sz w:val="28"/>
          <w:szCs w:val="28"/>
        </w:rPr>
        <w:t xml:space="preserve">оборудования, </w:t>
      </w:r>
      <w:r w:rsidRPr="00066D0E">
        <w:rPr>
          <w:color w:val="auto"/>
          <w:spacing w:val="-1"/>
          <w:sz w:val="28"/>
          <w:szCs w:val="28"/>
        </w:rPr>
        <w:t>которые он предлагает для использования при выполнении договора</w:t>
      </w:r>
      <w:r w:rsidRPr="00066D0E">
        <w:rPr>
          <w:color w:val="auto"/>
          <w:spacing w:val="-3"/>
          <w:sz w:val="28"/>
          <w:szCs w:val="28"/>
        </w:rPr>
        <w:t>.</w:t>
      </w:r>
      <w:r w:rsidRPr="00066D0E">
        <w:rPr>
          <w:color w:val="auto"/>
          <w:spacing w:val="1"/>
          <w:sz w:val="28"/>
          <w:szCs w:val="28"/>
        </w:rPr>
        <w:t xml:space="preserve"> Перечень минимально - необходимых машин и прочего материально-технического оборудования</w:t>
      </w:r>
      <w:r w:rsidRPr="00066D0E">
        <w:rPr>
          <w:color w:val="auto"/>
          <w:sz w:val="28"/>
          <w:szCs w:val="28"/>
        </w:rPr>
        <w:t xml:space="preserve"> указан в Приложении №2.</w:t>
      </w:r>
      <w:r w:rsidR="00C47D1E" w:rsidRPr="00066D0E">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7D3750">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2D24F1">
        <w:rPr>
          <w:rFonts w:ascii="Times New Roman" w:hAnsi="Times New Roman"/>
          <w:bCs/>
          <w:sz w:val="28"/>
          <w:szCs w:val="28"/>
        </w:rPr>
        <w:lastRenderedPageBreak/>
        <w:t>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F501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F5017">
        <w:rPr>
          <w:rFonts w:ascii="Times New Roman" w:hAnsi="Times New Roman"/>
          <w:b/>
          <w:sz w:val="28"/>
          <w:szCs w:val="26"/>
        </w:rPr>
        <w:t xml:space="preserve">Требования к выполнению работ </w:t>
      </w:r>
      <w:r w:rsidR="005A2000" w:rsidRPr="004F5017">
        <w:rPr>
          <w:rFonts w:ascii="Times New Roman" w:hAnsi="Times New Roman"/>
          <w:b/>
          <w:sz w:val="28"/>
          <w:szCs w:val="26"/>
        </w:rPr>
        <w:t>установлены следующими нормативными правилами</w:t>
      </w:r>
      <w:r w:rsidRPr="004F5017">
        <w:rPr>
          <w:rFonts w:ascii="Times New Roman" w:hAnsi="Times New Roman"/>
          <w:b/>
          <w:sz w:val="28"/>
          <w:szCs w:val="26"/>
        </w:rPr>
        <w:t xml:space="preserve">: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lastRenderedPageBreak/>
        <w:t>ГОСТ Р 53226-2008 Полотна нетканые. Методы определения прочности.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Р 52398-2005 Классификация автомобильных дорог. Основные параметры и требования.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СНиП 3.06.03-85 «Автомобильные дороги».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8267-93  «Щебень и гравий из плотных горных пород для строительных работ. Технические условия».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ППБ 01-03 «Правила пожарной безопасности в Российской Федерации»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12-01-2004 Организация строительства;</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СНиП3.01.03-84 «Геодезические работы в строительстве».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СП 104-34-96 «Производство земляных работ».</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12-03-2001 «Безопасность труда в строительстве. Часть 1. Общие требования»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12-04-2002 «Безопасность труда в строительстве. Часть 2. Строительное производство».</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44669"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4F5017" w:rsidRPr="00D44669" w:rsidRDefault="004F5017" w:rsidP="004F5017">
      <w:pPr>
        <w:spacing w:after="0" w:line="240" w:lineRule="auto"/>
        <w:contextualSpacing/>
        <w:jc w:val="both"/>
        <w:rPr>
          <w:rFonts w:ascii="Times New Roman" w:hAnsi="Times New Roman"/>
          <w:sz w:val="28"/>
          <w:szCs w:val="28"/>
        </w:rPr>
      </w:pPr>
    </w:p>
    <w:p w:rsidR="00D44669" w:rsidRPr="00D44669" w:rsidRDefault="00D44669" w:rsidP="00D44669">
      <w:pPr>
        <w:spacing w:after="0" w:line="240" w:lineRule="auto"/>
        <w:contextualSpacing/>
        <w:jc w:val="both"/>
        <w:rPr>
          <w:rFonts w:ascii="Times New Roman" w:hAnsi="Times New Roman"/>
          <w:sz w:val="24"/>
          <w:szCs w:val="24"/>
        </w:rPr>
      </w:pPr>
      <w:r w:rsidRPr="00D4466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C80610" w:rsidRDefault="00E16289" w:rsidP="00E16289">
      <w:pPr>
        <w:pStyle w:val="a3"/>
        <w:tabs>
          <w:tab w:val="left" w:pos="993"/>
        </w:tabs>
        <w:spacing w:after="0" w:line="240" w:lineRule="auto"/>
        <w:ind w:left="0"/>
        <w:jc w:val="right"/>
        <w:rPr>
          <w:rFonts w:ascii="Times New Roman" w:hAnsi="Times New Roman"/>
          <w:bCs/>
          <w:sz w:val="28"/>
          <w:szCs w:val="28"/>
        </w:rPr>
      </w:pPr>
      <w:r w:rsidRPr="00C80610">
        <w:rPr>
          <w:rFonts w:ascii="Times New Roman" w:hAnsi="Times New Roman"/>
          <w:bCs/>
          <w:sz w:val="28"/>
          <w:szCs w:val="28"/>
        </w:rPr>
        <w:lastRenderedPageBreak/>
        <w:t>Приложение №1</w:t>
      </w:r>
    </w:p>
    <w:p w:rsidR="00B044CF" w:rsidRPr="00C80610"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C80610" w:rsidRDefault="00E16289" w:rsidP="00E16289">
      <w:pPr>
        <w:pStyle w:val="a3"/>
        <w:spacing w:after="0" w:line="240" w:lineRule="auto"/>
        <w:ind w:left="709"/>
        <w:jc w:val="center"/>
        <w:rPr>
          <w:rFonts w:ascii="Times New Roman" w:hAnsi="Times New Roman"/>
          <w:b/>
          <w:bCs/>
          <w:sz w:val="28"/>
          <w:szCs w:val="28"/>
        </w:rPr>
      </w:pPr>
      <w:r w:rsidRPr="00C80610">
        <w:rPr>
          <w:rFonts w:ascii="Times New Roman" w:hAnsi="Times New Roman"/>
          <w:b/>
          <w:bCs/>
          <w:sz w:val="28"/>
          <w:szCs w:val="28"/>
        </w:rPr>
        <w:t>Ведомость объемов работ</w:t>
      </w:r>
    </w:p>
    <w:p w:rsidR="00F17E28" w:rsidRPr="00C80610"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28"/>
        <w:gridCol w:w="7221"/>
        <w:gridCol w:w="1434"/>
        <w:gridCol w:w="1321"/>
      </w:tblGrid>
      <w:tr w:rsidR="00D55F24" w:rsidRPr="00D55F24" w:rsidTr="00DC4EF2">
        <w:trPr>
          <w:trHeight w:val="240"/>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w:t>
            </w:r>
          </w:p>
        </w:tc>
        <w:tc>
          <w:tcPr>
            <w:tcW w:w="3373"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Наименование</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Ед. изм.</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Кол.</w:t>
            </w:r>
          </w:p>
        </w:tc>
      </w:tr>
      <w:tr w:rsidR="00D55F24" w:rsidRPr="00D55F24" w:rsidTr="00DC4EF2">
        <w:trPr>
          <w:trHeight w:val="240"/>
        </w:trPr>
        <w:tc>
          <w:tcPr>
            <w:tcW w:w="340" w:type="pct"/>
            <w:tcBorders>
              <w:top w:val="nil"/>
              <w:left w:val="single" w:sz="4" w:space="0" w:color="auto"/>
              <w:bottom w:val="nil"/>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w:t>
            </w:r>
          </w:p>
        </w:tc>
        <w:tc>
          <w:tcPr>
            <w:tcW w:w="3373" w:type="pct"/>
            <w:tcBorders>
              <w:top w:val="nil"/>
              <w:left w:val="nil"/>
              <w:bottom w:val="nil"/>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2</w:t>
            </w:r>
          </w:p>
        </w:tc>
        <w:tc>
          <w:tcPr>
            <w:tcW w:w="670" w:type="pct"/>
            <w:tcBorders>
              <w:top w:val="nil"/>
              <w:left w:val="nil"/>
              <w:bottom w:val="nil"/>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3</w:t>
            </w:r>
          </w:p>
        </w:tc>
        <w:tc>
          <w:tcPr>
            <w:tcW w:w="617" w:type="pct"/>
            <w:tcBorders>
              <w:top w:val="nil"/>
              <w:left w:val="nil"/>
              <w:bottom w:val="nil"/>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4</w:t>
            </w:r>
          </w:p>
        </w:tc>
      </w:tr>
      <w:tr w:rsidR="00D55F24" w:rsidRPr="00D55F24" w:rsidTr="00DC4EF2">
        <w:trPr>
          <w:trHeight w:val="555"/>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w:t>
            </w:r>
          </w:p>
        </w:tc>
        <w:tc>
          <w:tcPr>
            <w:tcW w:w="3373"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Разработка грунта с перемещением до 10 м бульдозерами</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м3</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0,442</w:t>
            </w:r>
          </w:p>
        </w:tc>
      </w:tr>
      <w:tr w:rsidR="00D55F24" w:rsidRPr="00D55F24" w:rsidTr="00DC4EF2">
        <w:trPr>
          <w:trHeight w:val="52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2</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Погрузочные работы при перевозках</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 т груза</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530,4</w:t>
            </w:r>
          </w:p>
        </w:tc>
      </w:tr>
      <w:tr w:rsidR="00D55F24" w:rsidRPr="00D55F24" w:rsidTr="00DC4EF2">
        <w:trPr>
          <w:trHeight w:val="42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3</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Перевозка грузов</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 т груза</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530,4</w:t>
            </w:r>
          </w:p>
        </w:tc>
      </w:tr>
      <w:tr w:rsidR="00D55F24" w:rsidRPr="00D55F24" w:rsidTr="00DC4EF2">
        <w:trPr>
          <w:trHeight w:val="37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4</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Работа на отвале</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0,442</w:t>
            </w:r>
          </w:p>
        </w:tc>
      </w:tr>
      <w:tr w:rsidR="00D55F24" w:rsidRPr="00D55F24" w:rsidTr="00DC4EF2">
        <w:trPr>
          <w:trHeight w:val="40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5</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Ремонт и содержание грунтовых землевозных дорог</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0,707</w:t>
            </w:r>
          </w:p>
        </w:tc>
      </w:tr>
      <w:tr w:rsidR="00D55F24" w:rsidRPr="00D55F24" w:rsidTr="00DC4EF2">
        <w:trPr>
          <w:trHeight w:val="67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6</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дорожных насыпей бульдозерами с перемещением грунта до 20 м</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0,442</w:t>
            </w:r>
          </w:p>
        </w:tc>
      </w:tr>
      <w:tr w:rsidR="00D55F24" w:rsidRPr="00D55F24" w:rsidTr="00DC4EF2">
        <w:trPr>
          <w:trHeight w:val="48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7</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Уплотнение грунта</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4,42</w:t>
            </w:r>
          </w:p>
        </w:tc>
      </w:tr>
      <w:tr w:rsidR="00D55F24" w:rsidRPr="00D55F24" w:rsidTr="00DC4EF2">
        <w:trPr>
          <w:trHeight w:val="52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8</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оснований из готовой цементогрунтовой смеси</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м2</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3,68</w:t>
            </w:r>
          </w:p>
        </w:tc>
      </w:tr>
      <w:tr w:rsidR="00D55F24" w:rsidRPr="00D55F24" w:rsidTr="00DC4EF2">
        <w:trPr>
          <w:trHeight w:val="54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9</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кюветов</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0,553</w:t>
            </w:r>
          </w:p>
        </w:tc>
      </w:tr>
      <w:tr w:rsidR="00D55F24" w:rsidRPr="00D55F24" w:rsidTr="00DC4EF2">
        <w:trPr>
          <w:trHeight w:val="45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Укрепление грунта с использованием противоэрозийного материала</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м2</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3,68</w:t>
            </w:r>
          </w:p>
        </w:tc>
      </w:tr>
      <w:tr w:rsidR="00D55F24" w:rsidRPr="00D55F24" w:rsidTr="00DC4EF2">
        <w:trPr>
          <w:trHeight w:val="45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11</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Планировка откосов</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м2</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1,92</w:t>
            </w:r>
          </w:p>
        </w:tc>
      </w:tr>
      <w:tr w:rsidR="00D55F24" w:rsidRPr="00D55F24" w:rsidTr="00DC4EF2">
        <w:trPr>
          <w:trHeight w:val="45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12</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подстилающих и выравнивающих слоев оснований</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 м3</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3,68</w:t>
            </w:r>
          </w:p>
        </w:tc>
      </w:tr>
      <w:tr w:rsidR="00D55F24" w:rsidRPr="00D55F24" w:rsidTr="00DC4EF2">
        <w:trPr>
          <w:trHeight w:val="60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13</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оснований из щебня: однослойных</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м2</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2,944</w:t>
            </w:r>
          </w:p>
        </w:tc>
      </w:tr>
      <w:tr w:rsidR="00D55F24" w:rsidRPr="00D55F24" w:rsidTr="00DC4EF2">
        <w:trPr>
          <w:trHeight w:val="49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14</w:t>
            </w:r>
          </w:p>
        </w:tc>
        <w:tc>
          <w:tcPr>
            <w:tcW w:w="3373"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rPr>
                <w:rFonts w:ascii="Times New Roman" w:hAnsi="Times New Roman"/>
                <w:sz w:val="28"/>
                <w:szCs w:val="28"/>
              </w:rPr>
            </w:pPr>
            <w:r w:rsidRPr="00D55F24">
              <w:rPr>
                <w:rFonts w:ascii="Times New Roman" w:hAnsi="Times New Roman"/>
                <w:sz w:val="28"/>
                <w:szCs w:val="28"/>
              </w:rPr>
              <w:t>Устройство покрытий (при укатке щебня): однослойных</w:t>
            </w:r>
          </w:p>
        </w:tc>
        <w:tc>
          <w:tcPr>
            <w:tcW w:w="670"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1000 м2</w:t>
            </w:r>
          </w:p>
        </w:tc>
        <w:tc>
          <w:tcPr>
            <w:tcW w:w="617" w:type="pct"/>
            <w:tcBorders>
              <w:top w:val="nil"/>
              <w:left w:val="nil"/>
              <w:bottom w:val="single" w:sz="4" w:space="0" w:color="auto"/>
              <w:right w:val="single" w:sz="4" w:space="0" w:color="auto"/>
            </w:tcBorders>
            <w:shd w:val="clear" w:color="auto" w:fill="auto"/>
            <w:vAlign w:val="center"/>
            <w:hideMark/>
          </w:tcPr>
          <w:p w:rsidR="00D55F24" w:rsidRPr="00D55F24" w:rsidRDefault="00D55F24" w:rsidP="00D55F24">
            <w:pPr>
              <w:spacing w:after="0" w:line="240" w:lineRule="auto"/>
              <w:jc w:val="center"/>
              <w:rPr>
                <w:rFonts w:ascii="Times New Roman" w:hAnsi="Times New Roman"/>
                <w:sz w:val="28"/>
                <w:szCs w:val="28"/>
              </w:rPr>
            </w:pPr>
            <w:r w:rsidRPr="00D55F24">
              <w:rPr>
                <w:rFonts w:ascii="Times New Roman" w:hAnsi="Times New Roman"/>
                <w:sz w:val="28"/>
                <w:szCs w:val="28"/>
              </w:rPr>
              <w:t>2,944</w:t>
            </w:r>
          </w:p>
        </w:tc>
      </w:tr>
    </w:tbl>
    <w:p w:rsidR="00D55F24" w:rsidRPr="00C80610" w:rsidRDefault="00D55F24" w:rsidP="00E16289">
      <w:pPr>
        <w:pStyle w:val="a3"/>
        <w:spacing w:after="0" w:line="240" w:lineRule="auto"/>
        <w:ind w:left="709"/>
        <w:jc w:val="center"/>
        <w:rPr>
          <w:rFonts w:ascii="Times New Roman" w:hAnsi="Times New Roman"/>
          <w:b/>
          <w:bCs/>
          <w:sz w:val="28"/>
          <w:szCs w:val="28"/>
        </w:rPr>
      </w:pPr>
    </w:p>
    <w:p w:rsidR="00DA61AB" w:rsidRPr="00C80610" w:rsidRDefault="00DA61AB" w:rsidP="00E16289">
      <w:pPr>
        <w:pStyle w:val="a3"/>
        <w:spacing w:after="0" w:line="240" w:lineRule="auto"/>
        <w:ind w:left="709"/>
        <w:jc w:val="center"/>
        <w:rPr>
          <w:rFonts w:ascii="Times New Roman" w:hAnsi="Times New Roman"/>
          <w:b/>
          <w:bCs/>
          <w:sz w:val="28"/>
          <w:szCs w:val="28"/>
        </w:rPr>
      </w:pPr>
    </w:p>
    <w:p w:rsidR="00DA61AB" w:rsidRPr="00C80610" w:rsidRDefault="00DA61AB"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DF71CF" w:rsidRPr="00C80610" w:rsidRDefault="00DF71CF" w:rsidP="00E16289">
      <w:pPr>
        <w:pStyle w:val="a3"/>
        <w:spacing w:after="0" w:line="240" w:lineRule="auto"/>
        <w:ind w:left="709"/>
        <w:jc w:val="center"/>
        <w:rPr>
          <w:rFonts w:ascii="Times New Roman" w:hAnsi="Times New Roman"/>
          <w:b/>
          <w:bCs/>
          <w:sz w:val="28"/>
          <w:szCs w:val="28"/>
        </w:rPr>
      </w:pPr>
    </w:p>
    <w:p w:rsidR="00DF71CF" w:rsidRPr="00C80610" w:rsidRDefault="00DF71CF">
      <w:pPr>
        <w:spacing w:after="0" w:line="240" w:lineRule="auto"/>
        <w:rPr>
          <w:rFonts w:ascii="Times New Roman" w:hAnsi="Times New Roman"/>
          <w:b/>
          <w:bCs/>
          <w:sz w:val="28"/>
          <w:szCs w:val="28"/>
        </w:rPr>
      </w:pPr>
      <w:r w:rsidRPr="00C80610">
        <w:rPr>
          <w:rFonts w:ascii="Times New Roman" w:hAnsi="Times New Roman"/>
          <w:b/>
          <w:bCs/>
          <w:sz w:val="28"/>
          <w:szCs w:val="28"/>
        </w:rPr>
        <w:br w:type="page"/>
      </w:r>
    </w:p>
    <w:p w:rsidR="00DF71CF" w:rsidRPr="00C80610" w:rsidRDefault="00DF71CF" w:rsidP="00DF71CF">
      <w:pPr>
        <w:pStyle w:val="a3"/>
        <w:tabs>
          <w:tab w:val="left" w:pos="993"/>
        </w:tabs>
        <w:spacing w:after="0" w:line="240" w:lineRule="auto"/>
        <w:ind w:left="0"/>
        <w:jc w:val="right"/>
        <w:rPr>
          <w:rFonts w:ascii="Times New Roman" w:hAnsi="Times New Roman"/>
          <w:bCs/>
          <w:sz w:val="28"/>
          <w:szCs w:val="28"/>
        </w:rPr>
      </w:pPr>
      <w:r w:rsidRPr="00C80610">
        <w:rPr>
          <w:rFonts w:ascii="Times New Roman" w:hAnsi="Times New Roman"/>
          <w:bCs/>
          <w:sz w:val="28"/>
          <w:szCs w:val="28"/>
        </w:rPr>
        <w:lastRenderedPageBreak/>
        <w:t>Приложение №2</w:t>
      </w:r>
    </w:p>
    <w:p w:rsidR="00DF71CF" w:rsidRPr="00C80610"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C80610" w:rsidRDefault="00544CFD" w:rsidP="00544CFD">
      <w:pPr>
        <w:spacing w:after="0" w:line="240" w:lineRule="auto"/>
        <w:contextualSpacing/>
        <w:jc w:val="center"/>
        <w:rPr>
          <w:rFonts w:ascii="Times New Roman" w:hAnsi="Times New Roman"/>
          <w:b/>
          <w:sz w:val="28"/>
          <w:szCs w:val="28"/>
        </w:rPr>
      </w:pPr>
      <w:r w:rsidRPr="00C80610">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C80610"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C80610" w:rsidRPr="00C80610" w:rsidTr="00C80610">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Наименование</w:t>
            </w:r>
            <w:r w:rsidR="000A7CB3">
              <w:rPr>
                <w:rFonts w:ascii="Times New Roman" w:hAnsi="Times New Roman"/>
                <w:b/>
                <w:bCs/>
                <w:sz w:val="28"/>
                <w:szCs w:val="28"/>
              </w:rPr>
              <w:t xml:space="preserve"> минимально - необходимых</w:t>
            </w:r>
            <w:r w:rsidR="000A7CB3">
              <w:rPr>
                <w:rFonts w:ascii="Times New Roman" w:hAnsi="Times New Roman"/>
                <w:b/>
                <w:bCs/>
                <w:sz w:val="28"/>
                <w:szCs w:val="28"/>
              </w:rPr>
              <w:br/>
              <w:t>машин</w:t>
            </w:r>
            <w:r w:rsidRPr="00C80610">
              <w:rPr>
                <w:rFonts w:ascii="Times New Roman" w:hAnsi="Times New Roman"/>
                <w:b/>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Кол-во</w:t>
            </w:r>
          </w:p>
        </w:tc>
      </w:tr>
      <w:tr w:rsidR="00C80610" w:rsidRPr="00C80610" w:rsidTr="00C80610">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b/>
                <w:bCs/>
                <w:sz w:val="28"/>
                <w:szCs w:val="28"/>
              </w:rPr>
            </w:pPr>
            <w:r w:rsidRPr="00C80610">
              <w:rPr>
                <w:rFonts w:ascii="Times New Roman" w:hAnsi="Times New Roman"/>
                <w:b/>
                <w:bCs/>
                <w:sz w:val="28"/>
                <w:szCs w:val="28"/>
              </w:rPr>
              <w:t>4</w:t>
            </w:r>
          </w:p>
        </w:tc>
      </w:tr>
      <w:tr w:rsidR="00C80610" w:rsidRPr="00C80610" w:rsidTr="00C80610">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 xml:space="preserve">Бульдозеры, мощность 79 кВт - 96 кВт </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r>
      <w:tr w:rsidR="00C80610" w:rsidRPr="00C80610" w:rsidTr="00C80610">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Автогрейдеры: среднего типа, мощность 99 кВт (135 л.с.)</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r>
      <w:tr w:rsidR="00C80610" w:rsidRPr="00C80610" w:rsidTr="00C80610">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Экскаваторы-планировщики: на пневмоколесном ходу</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r>
      <w:tr w:rsidR="00C80610" w:rsidRPr="00C80610" w:rsidTr="00C80610">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Катки дорожные самоходные гладкие, масса 8 т - 16т</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r>
      <w:tr w:rsidR="00C80610" w:rsidRPr="00C80610" w:rsidTr="00C80610">
        <w:trPr>
          <w:trHeight w:val="57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2</w:t>
            </w:r>
          </w:p>
        </w:tc>
      </w:tr>
      <w:tr w:rsidR="00C80610" w:rsidRPr="00C80610" w:rsidTr="00C80610">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2</w:t>
            </w:r>
          </w:p>
        </w:tc>
      </w:tr>
      <w:tr w:rsidR="00C80610" w:rsidRPr="00C80610" w:rsidTr="00C80610">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rPr>
                <w:rFonts w:ascii="Times New Roman" w:hAnsi="Times New Roman"/>
                <w:sz w:val="28"/>
                <w:szCs w:val="28"/>
              </w:rPr>
            </w:pPr>
            <w:r w:rsidRPr="00C80610">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80610" w:rsidRPr="00C80610" w:rsidRDefault="00C80610" w:rsidP="00C80610">
            <w:pPr>
              <w:spacing w:after="0" w:line="240" w:lineRule="auto"/>
              <w:jc w:val="center"/>
              <w:rPr>
                <w:rFonts w:ascii="Times New Roman" w:hAnsi="Times New Roman"/>
                <w:sz w:val="28"/>
                <w:szCs w:val="28"/>
              </w:rPr>
            </w:pPr>
            <w:r w:rsidRPr="00C80610">
              <w:rPr>
                <w:rFonts w:ascii="Times New Roman" w:hAnsi="Times New Roman"/>
                <w:sz w:val="28"/>
                <w:szCs w:val="28"/>
              </w:rPr>
              <w:t>1</w:t>
            </w:r>
          </w:p>
        </w:tc>
      </w:tr>
    </w:tbl>
    <w:p w:rsidR="00C80610" w:rsidRPr="00C80610" w:rsidRDefault="00C80610" w:rsidP="00544CFD">
      <w:pPr>
        <w:spacing w:after="0" w:line="240" w:lineRule="auto"/>
        <w:contextualSpacing/>
        <w:jc w:val="center"/>
        <w:rPr>
          <w:rFonts w:ascii="Times New Roman" w:hAnsi="Times New Roman"/>
          <w:b/>
          <w:bCs/>
          <w:sz w:val="28"/>
          <w:szCs w:val="28"/>
        </w:rPr>
      </w:pPr>
    </w:p>
    <w:p w:rsidR="00C80610" w:rsidRPr="00C80610" w:rsidRDefault="00C80610" w:rsidP="00544CFD">
      <w:pPr>
        <w:spacing w:after="0" w:line="240" w:lineRule="auto"/>
        <w:contextualSpacing/>
        <w:jc w:val="center"/>
        <w:rPr>
          <w:rFonts w:ascii="Times New Roman" w:hAnsi="Times New Roman"/>
          <w:b/>
          <w:bCs/>
          <w:sz w:val="28"/>
          <w:szCs w:val="28"/>
        </w:rPr>
      </w:pPr>
    </w:p>
    <w:p w:rsidR="00C80610" w:rsidRPr="00C80610" w:rsidRDefault="00C80610"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A62AF1" w:rsidRDefault="00A62AF1" w:rsidP="00DF71CF">
      <w:pPr>
        <w:pStyle w:val="a3"/>
        <w:spacing w:after="0" w:line="240" w:lineRule="auto"/>
        <w:ind w:left="0"/>
        <w:jc w:val="center"/>
        <w:rPr>
          <w:rFonts w:ascii="Times New Roman" w:hAnsi="Times New Roman"/>
          <w:b/>
          <w:bCs/>
          <w:sz w:val="28"/>
          <w:szCs w:val="28"/>
        </w:rPr>
      </w:pPr>
    </w:p>
    <w:sectPr w:rsidR="00A62AF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50" w:rsidRDefault="007D3750" w:rsidP="00FF37E6">
      <w:pPr>
        <w:spacing w:after="0" w:line="240" w:lineRule="auto"/>
      </w:pPr>
      <w:r>
        <w:separator/>
      </w:r>
    </w:p>
  </w:endnote>
  <w:endnote w:type="continuationSeparator" w:id="0">
    <w:p w:rsidR="007D3750" w:rsidRDefault="007D375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50" w:rsidRDefault="007D3750" w:rsidP="00FF37E6">
      <w:pPr>
        <w:spacing w:after="0" w:line="240" w:lineRule="auto"/>
      </w:pPr>
      <w:r>
        <w:separator/>
      </w:r>
    </w:p>
  </w:footnote>
  <w:footnote w:type="continuationSeparator" w:id="0">
    <w:p w:rsidR="007D3750" w:rsidRDefault="007D375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2185E"/>
    <w:multiLevelType w:val="hybridMultilevel"/>
    <w:tmpl w:val="1FE4F24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28"/>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6"/>
  </w:num>
  <w:num w:numId="27">
    <w:abstractNumId w:val="15"/>
  </w:num>
  <w:num w:numId="28">
    <w:abstractNumId w:val="23"/>
  </w:num>
  <w:num w:numId="29">
    <w:abstractNumId w:val="35"/>
  </w:num>
  <w:num w:numId="30">
    <w:abstractNumId w:val="45"/>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7"/>
  </w:num>
  <w:num w:numId="44">
    <w:abstractNumId w:val="44"/>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5EA"/>
    <w:rsid w:val="00020D8F"/>
    <w:rsid w:val="00020DCB"/>
    <w:rsid w:val="00025BFF"/>
    <w:rsid w:val="000304C9"/>
    <w:rsid w:val="0003469F"/>
    <w:rsid w:val="00045CE6"/>
    <w:rsid w:val="0005785B"/>
    <w:rsid w:val="000664D6"/>
    <w:rsid w:val="00066D0E"/>
    <w:rsid w:val="0007015D"/>
    <w:rsid w:val="00070361"/>
    <w:rsid w:val="00074930"/>
    <w:rsid w:val="000821F8"/>
    <w:rsid w:val="00083DF6"/>
    <w:rsid w:val="00085E8F"/>
    <w:rsid w:val="00095E8F"/>
    <w:rsid w:val="000A1C91"/>
    <w:rsid w:val="000A361D"/>
    <w:rsid w:val="000A4E82"/>
    <w:rsid w:val="000A7CB3"/>
    <w:rsid w:val="000B0FF9"/>
    <w:rsid w:val="000B76C9"/>
    <w:rsid w:val="000C2242"/>
    <w:rsid w:val="000C3D72"/>
    <w:rsid w:val="000E0133"/>
    <w:rsid w:val="000E1E74"/>
    <w:rsid w:val="000E62C7"/>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19A7"/>
    <w:rsid w:val="00173543"/>
    <w:rsid w:val="00173607"/>
    <w:rsid w:val="00174022"/>
    <w:rsid w:val="00174BA3"/>
    <w:rsid w:val="00177081"/>
    <w:rsid w:val="001772E1"/>
    <w:rsid w:val="00183B63"/>
    <w:rsid w:val="00190074"/>
    <w:rsid w:val="00193162"/>
    <w:rsid w:val="001A4B03"/>
    <w:rsid w:val="001B1CF8"/>
    <w:rsid w:val="001C622A"/>
    <w:rsid w:val="001D3A0E"/>
    <w:rsid w:val="001E6295"/>
    <w:rsid w:val="001E7C85"/>
    <w:rsid w:val="00202AF5"/>
    <w:rsid w:val="002034FF"/>
    <w:rsid w:val="0021318E"/>
    <w:rsid w:val="00215488"/>
    <w:rsid w:val="002211E1"/>
    <w:rsid w:val="00221A0E"/>
    <w:rsid w:val="00224FB7"/>
    <w:rsid w:val="002251B6"/>
    <w:rsid w:val="002453DB"/>
    <w:rsid w:val="00246CB5"/>
    <w:rsid w:val="00252F7A"/>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1785"/>
    <w:rsid w:val="002A41DE"/>
    <w:rsid w:val="002B1518"/>
    <w:rsid w:val="002B1C89"/>
    <w:rsid w:val="002B2ACD"/>
    <w:rsid w:val="002B513F"/>
    <w:rsid w:val="002B5685"/>
    <w:rsid w:val="002C08A4"/>
    <w:rsid w:val="002C2BEF"/>
    <w:rsid w:val="002C52D2"/>
    <w:rsid w:val="002C6E99"/>
    <w:rsid w:val="002D1829"/>
    <w:rsid w:val="002D24F1"/>
    <w:rsid w:val="002D28D5"/>
    <w:rsid w:val="002D2A4D"/>
    <w:rsid w:val="002D30DD"/>
    <w:rsid w:val="002D70F3"/>
    <w:rsid w:val="002E0F29"/>
    <w:rsid w:val="002E14B8"/>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F5017"/>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0D"/>
    <w:rsid w:val="005E0F2A"/>
    <w:rsid w:val="005E236D"/>
    <w:rsid w:val="005E43E0"/>
    <w:rsid w:val="005E7D8C"/>
    <w:rsid w:val="005F2769"/>
    <w:rsid w:val="0060483D"/>
    <w:rsid w:val="00611D39"/>
    <w:rsid w:val="00616947"/>
    <w:rsid w:val="0062059A"/>
    <w:rsid w:val="00622AA9"/>
    <w:rsid w:val="00626014"/>
    <w:rsid w:val="00627D2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2E91"/>
    <w:rsid w:val="00703AC5"/>
    <w:rsid w:val="00715F8D"/>
    <w:rsid w:val="0072408C"/>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B7151"/>
    <w:rsid w:val="007C1538"/>
    <w:rsid w:val="007C4D98"/>
    <w:rsid w:val="007C5BAC"/>
    <w:rsid w:val="007C6573"/>
    <w:rsid w:val="007D1343"/>
    <w:rsid w:val="007D27B3"/>
    <w:rsid w:val="007D2F55"/>
    <w:rsid w:val="007D3750"/>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2456"/>
    <w:rsid w:val="008C44D9"/>
    <w:rsid w:val="008D61CB"/>
    <w:rsid w:val="008D6508"/>
    <w:rsid w:val="008E382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3511"/>
    <w:rsid w:val="00944785"/>
    <w:rsid w:val="00950DD8"/>
    <w:rsid w:val="0095399C"/>
    <w:rsid w:val="00956FFD"/>
    <w:rsid w:val="00957183"/>
    <w:rsid w:val="00957905"/>
    <w:rsid w:val="00957C94"/>
    <w:rsid w:val="009647F0"/>
    <w:rsid w:val="00975CA4"/>
    <w:rsid w:val="00975E24"/>
    <w:rsid w:val="00977A67"/>
    <w:rsid w:val="00980746"/>
    <w:rsid w:val="00984103"/>
    <w:rsid w:val="00991586"/>
    <w:rsid w:val="00992BA1"/>
    <w:rsid w:val="00994B9B"/>
    <w:rsid w:val="009A410D"/>
    <w:rsid w:val="009B06F4"/>
    <w:rsid w:val="009B3647"/>
    <w:rsid w:val="009B6FB3"/>
    <w:rsid w:val="009C1492"/>
    <w:rsid w:val="009C6A36"/>
    <w:rsid w:val="009D3185"/>
    <w:rsid w:val="009D3766"/>
    <w:rsid w:val="009D4F84"/>
    <w:rsid w:val="009E1292"/>
    <w:rsid w:val="009E2E11"/>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2AF1"/>
    <w:rsid w:val="00A703C0"/>
    <w:rsid w:val="00A738A6"/>
    <w:rsid w:val="00A73FC8"/>
    <w:rsid w:val="00A7555D"/>
    <w:rsid w:val="00A77C5E"/>
    <w:rsid w:val="00A80E77"/>
    <w:rsid w:val="00A833E5"/>
    <w:rsid w:val="00A842C5"/>
    <w:rsid w:val="00A95787"/>
    <w:rsid w:val="00AA32B2"/>
    <w:rsid w:val="00AA6C3F"/>
    <w:rsid w:val="00AA77AB"/>
    <w:rsid w:val="00AB378B"/>
    <w:rsid w:val="00AB5BB4"/>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2E06"/>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3C97"/>
    <w:rsid w:val="00C310A1"/>
    <w:rsid w:val="00C31E87"/>
    <w:rsid w:val="00C33873"/>
    <w:rsid w:val="00C41217"/>
    <w:rsid w:val="00C413C4"/>
    <w:rsid w:val="00C45897"/>
    <w:rsid w:val="00C45D8A"/>
    <w:rsid w:val="00C47D1E"/>
    <w:rsid w:val="00C53903"/>
    <w:rsid w:val="00C54AB0"/>
    <w:rsid w:val="00C65AB6"/>
    <w:rsid w:val="00C725FF"/>
    <w:rsid w:val="00C80610"/>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765"/>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4669"/>
    <w:rsid w:val="00D46A04"/>
    <w:rsid w:val="00D50AA0"/>
    <w:rsid w:val="00D50DCF"/>
    <w:rsid w:val="00D5142E"/>
    <w:rsid w:val="00D55F24"/>
    <w:rsid w:val="00D56BA4"/>
    <w:rsid w:val="00D600C3"/>
    <w:rsid w:val="00D737D9"/>
    <w:rsid w:val="00D742B0"/>
    <w:rsid w:val="00D81643"/>
    <w:rsid w:val="00D86537"/>
    <w:rsid w:val="00D86E74"/>
    <w:rsid w:val="00D90423"/>
    <w:rsid w:val="00D9243B"/>
    <w:rsid w:val="00DA1757"/>
    <w:rsid w:val="00DA3071"/>
    <w:rsid w:val="00DA61AB"/>
    <w:rsid w:val="00DB0EA0"/>
    <w:rsid w:val="00DC4EF2"/>
    <w:rsid w:val="00DD51F5"/>
    <w:rsid w:val="00DD614B"/>
    <w:rsid w:val="00DD6481"/>
    <w:rsid w:val="00DE38EB"/>
    <w:rsid w:val="00DE4101"/>
    <w:rsid w:val="00DE45E9"/>
    <w:rsid w:val="00DE4C55"/>
    <w:rsid w:val="00DF4A6A"/>
    <w:rsid w:val="00DF51D5"/>
    <w:rsid w:val="00DF71CF"/>
    <w:rsid w:val="00E01542"/>
    <w:rsid w:val="00E01BDB"/>
    <w:rsid w:val="00E079BD"/>
    <w:rsid w:val="00E12F55"/>
    <w:rsid w:val="00E16289"/>
    <w:rsid w:val="00E223C2"/>
    <w:rsid w:val="00E2661B"/>
    <w:rsid w:val="00E2740A"/>
    <w:rsid w:val="00E34F54"/>
    <w:rsid w:val="00E374D5"/>
    <w:rsid w:val="00E45891"/>
    <w:rsid w:val="00E54346"/>
    <w:rsid w:val="00E573D1"/>
    <w:rsid w:val="00E63B6B"/>
    <w:rsid w:val="00E661C3"/>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1F05"/>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D61A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C00"/>
  <w15:docId w15:val="{0AAEA72C-5803-4472-9CA2-78868E3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822622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790823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058825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4727052">
      <w:bodyDiv w:val="1"/>
      <w:marLeft w:val="0"/>
      <w:marRight w:val="0"/>
      <w:marTop w:val="0"/>
      <w:marBottom w:val="0"/>
      <w:divBdr>
        <w:top w:val="none" w:sz="0" w:space="0" w:color="auto"/>
        <w:left w:val="none" w:sz="0" w:space="0" w:color="auto"/>
        <w:bottom w:val="none" w:sz="0" w:space="0" w:color="auto"/>
        <w:right w:val="none" w:sz="0" w:space="0" w:color="auto"/>
      </w:divBdr>
    </w:div>
    <w:div w:id="628441562">
      <w:bodyDiv w:val="1"/>
      <w:marLeft w:val="0"/>
      <w:marRight w:val="0"/>
      <w:marTop w:val="0"/>
      <w:marBottom w:val="0"/>
      <w:divBdr>
        <w:top w:val="none" w:sz="0" w:space="0" w:color="auto"/>
        <w:left w:val="none" w:sz="0" w:space="0" w:color="auto"/>
        <w:bottom w:val="none" w:sz="0" w:space="0" w:color="auto"/>
        <w:right w:val="none" w:sz="0" w:space="0" w:color="auto"/>
      </w:divBdr>
    </w:div>
    <w:div w:id="634720317">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4933131">
      <w:bodyDiv w:val="1"/>
      <w:marLeft w:val="0"/>
      <w:marRight w:val="0"/>
      <w:marTop w:val="0"/>
      <w:marBottom w:val="0"/>
      <w:divBdr>
        <w:top w:val="none" w:sz="0" w:space="0" w:color="auto"/>
        <w:left w:val="none" w:sz="0" w:space="0" w:color="auto"/>
        <w:bottom w:val="none" w:sz="0" w:space="0" w:color="auto"/>
        <w:right w:val="none" w:sz="0" w:space="0" w:color="auto"/>
      </w:divBdr>
    </w:div>
    <w:div w:id="7568249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676356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6229619">
      <w:bodyDiv w:val="1"/>
      <w:marLeft w:val="0"/>
      <w:marRight w:val="0"/>
      <w:marTop w:val="0"/>
      <w:marBottom w:val="0"/>
      <w:divBdr>
        <w:top w:val="none" w:sz="0" w:space="0" w:color="auto"/>
        <w:left w:val="none" w:sz="0" w:space="0" w:color="auto"/>
        <w:bottom w:val="none" w:sz="0" w:space="0" w:color="auto"/>
        <w:right w:val="none" w:sz="0" w:space="0" w:color="auto"/>
      </w:divBdr>
    </w:div>
    <w:div w:id="105573794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027910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60394895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FB680E-F5B8-4093-9EE7-8CA644E3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FD28894A</Template>
  <TotalTime>57</TotalTime>
  <Pages>8</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2018-01-17T14:26:00Z</dcterms:created>
  <dcterms:modified xsi:type="dcterms:W3CDTF">2018-01-19T11:06:00Z</dcterms:modified>
</cp:coreProperties>
</file>